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DBE6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附件1：皖西学院科技楼及周边区域物业服务项目采购需求</w:t>
      </w:r>
    </w:p>
    <w:p w14:paraId="1411545D">
      <w:pPr>
        <w:wordWrap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t>一、采购需求前附表</w:t>
      </w:r>
    </w:p>
    <w:tbl>
      <w:tblPr>
        <w:tblStyle w:val="1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5061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DBE3E68">
            <w:pPr>
              <w:pStyle w:val="16"/>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54" w:type="dxa"/>
            <w:noWrap w:val="0"/>
            <w:vAlign w:val="center"/>
          </w:tcPr>
          <w:p w14:paraId="3E7C6F8B">
            <w:pPr>
              <w:pStyle w:val="17"/>
              <w:keepNext w:val="0"/>
              <w:keepLines w:val="0"/>
              <w:pageBreakBefore w:val="0"/>
              <w:widowControl w:val="0"/>
              <w:kinsoku/>
              <w:wordWrap w:val="0"/>
              <w:overflowPunct/>
              <w:topLinePunct w:val="0"/>
              <w:bidi w:val="0"/>
              <w:spacing w:before="0" w:beforeAutospacing="0" w:after="0" w:afterAutospacing="0" w:line="360" w:lineRule="auto"/>
              <w:textAlignment w:val="auto"/>
              <w:rPr>
                <w:rFonts w:ascii="宋体" w:hAnsi="宋体" w:eastAsia="宋体"/>
                <w:bCs w:val="0"/>
                <w:sz w:val="24"/>
              </w:rPr>
            </w:pPr>
            <w:r>
              <w:rPr>
                <w:rFonts w:hint="eastAsia" w:ascii="宋体" w:hAnsi="宋体" w:eastAsia="宋体"/>
                <w:bCs w:val="0"/>
                <w:sz w:val="24"/>
              </w:rPr>
              <w:t>条款名称</w:t>
            </w:r>
          </w:p>
        </w:tc>
        <w:tc>
          <w:tcPr>
            <w:tcW w:w="5544" w:type="dxa"/>
            <w:noWrap w:val="0"/>
            <w:vAlign w:val="center"/>
          </w:tcPr>
          <w:p w14:paraId="628ECE85">
            <w:pPr>
              <w:pStyle w:val="17"/>
              <w:keepNext w:val="0"/>
              <w:keepLines w:val="0"/>
              <w:pageBreakBefore w:val="0"/>
              <w:widowControl w:val="0"/>
              <w:kinsoku/>
              <w:wordWrap w:val="0"/>
              <w:overflowPunct/>
              <w:topLinePunct w:val="0"/>
              <w:bidi w:val="0"/>
              <w:spacing w:before="0" w:beforeAutospacing="0" w:after="0" w:afterAutospacing="0" w:line="360" w:lineRule="auto"/>
              <w:textAlignment w:val="auto"/>
              <w:rPr>
                <w:rFonts w:ascii="宋体" w:hAnsi="宋体" w:eastAsia="宋体"/>
                <w:bCs w:val="0"/>
                <w:sz w:val="24"/>
              </w:rPr>
            </w:pPr>
            <w:r>
              <w:rPr>
                <w:rFonts w:hint="eastAsia" w:ascii="宋体" w:hAnsi="宋体" w:eastAsia="宋体"/>
                <w:bCs w:val="0"/>
                <w:sz w:val="24"/>
              </w:rPr>
              <w:t>内容、说明与要求</w:t>
            </w:r>
          </w:p>
        </w:tc>
      </w:tr>
      <w:tr w14:paraId="385C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0C38D17C">
            <w:pPr>
              <w:pStyle w:val="16"/>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54" w:type="dxa"/>
            <w:noWrap w:val="0"/>
            <w:vAlign w:val="center"/>
          </w:tcPr>
          <w:p w14:paraId="63D1A447">
            <w:pPr>
              <w:pStyle w:val="17"/>
              <w:keepNext w:val="0"/>
              <w:keepLines w:val="0"/>
              <w:pageBreakBefore w:val="0"/>
              <w:widowControl w:val="0"/>
              <w:kinsoku/>
              <w:wordWrap w:val="0"/>
              <w:overflowPunct/>
              <w:topLinePunct w:val="0"/>
              <w:bidi w:val="0"/>
              <w:spacing w:before="0" w:beforeAutospacing="0" w:after="0" w:afterAutospacing="0" w:line="360" w:lineRule="auto"/>
              <w:textAlignment w:val="auto"/>
              <w:rPr>
                <w:rFonts w:ascii="宋体" w:hAnsi="宋体" w:eastAsia="宋体"/>
                <w:b w:val="0"/>
                <w:sz w:val="24"/>
              </w:rPr>
            </w:pPr>
            <w:r>
              <w:rPr>
                <w:rFonts w:hint="eastAsia" w:ascii="宋体" w:hAnsi="宋体" w:eastAsia="宋体"/>
                <w:b w:val="0"/>
                <w:sz w:val="24"/>
              </w:rPr>
              <w:t>付款方式</w:t>
            </w:r>
          </w:p>
        </w:tc>
        <w:tc>
          <w:tcPr>
            <w:tcW w:w="5544" w:type="dxa"/>
            <w:noWrap w:val="0"/>
            <w:vAlign w:val="center"/>
          </w:tcPr>
          <w:p w14:paraId="18B79EB5">
            <w:pPr>
              <w:pStyle w:val="17"/>
              <w:keepNext w:val="0"/>
              <w:keepLines w:val="0"/>
              <w:pageBreakBefore w:val="0"/>
              <w:widowControl w:val="0"/>
              <w:kinsoku/>
              <w:wordWrap w:val="0"/>
              <w:overflowPunct/>
              <w:topLinePunct w:val="0"/>
              <w:bidi w:val="0"/>
              <w:spacing w:before="0" w:beforeAutospacing="0" w:after="0" w:afterAutospacing="0" w:line="360" w:lineRule="auto"/>
              <w:jc w:val="both"/>
              <w:textAlignment w:val="auto"/>
              <w:rPr>
                <w:rFonts w:hint="eastAsia" w:ascii="宋体" w:hAnsi="宋体" w:eastAsia="宋体"/>
                <w:b w:val="0"/>
                <w:bCs w:val="0"/>
                <w:sz w:val="24"/>
                <w:lang w:val="en-US" w:eastAsia="zh-CN"/>
              </w:rPr>
            </w:pPr>
            <w:r>
              <w:rPr>
                <w:rFonts w:hint="eastAsia" w:ascii="宋体" w:hAnsi="宋体" w:eastAsia="宋体"/>
                <w:b w:val="0"/>
                <w:sz w:val="24"/>
                <w:lang w:val="en-US" w:eastAsia="zh-CN"/>
              </w:rPr>
              <w:t>物业服务费根据成交单价和实际安排人数据实结算（科技楼使用进度不一致，根据实际安排的具体人数核减当月服务费，每少一人扣减物业服务费3000元），服务期满经验收合格一次性结算，不足整月（每月按30日计算）的按实际天数支付。比选申请人应该在验收合格之日起30个工作日内提供合同、验收报告、发票原件等材料，经采购人财务部门审核后支付。</w:t>
            </w:r>
          </w:p>
        </w:tc>
      </w:tr>
      <w:tr w14:paraId="687D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6E6BCCBA">
            <w:pPr>
              <w:pStyle w:val="16"/>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54" w:type="dxa"/>
            <w:noWrap w:val="0"/>
            <w:vAlign w:val="center"/>
          </w:tcPr>
          <w:p w14:paraId="7601550E">
            <w:pPr>
              <w:pStyle w:val="17"/>
              <w:keepNext w:val="0"/>
              <w:keepLines w:val="0"/>
              <w:pageBreakBefore w:val="0"/>
              <w:widowControl w:val="0"/>
              <w:kinsoku/>
              <w:wordWrap w:val="0"/>
              <w:overflowPunct/>
              <w:topLinePunct w:val="0"/>
              <w:bidi w:val="0"/>
              <w:spacing w:before="0" w:beforeAutospacing="0" w:after="0" w:afterAutospacing="0" w:line="360" w:lineRule="auto"/>
              <w:textAlignment w:val="auto"/>
              <w:rPr>
                <w:rFonts w:ascii="宋体" w:hAnsi="宋体" w:eastAsia="宋体"/>
                <w:b w:val="0"/>
                <w:sz w:val="24"/>
              </w:rPr>
            </w:pPr>
            <w:r>
              <w:rPr>
                <w:rFonts w:hint="eastAsia" w:ascii="宋体" w:hAnsi="宋体" w:eastAsia="宋体"/>
                <w:b w:val="0"/>
                <w:sz w:val="24"/>
                <w:lang w:val="en-US" w:eastAsia="zh-CN"/>
              </w:rPr>
              <w:t>服务</w:t>
            </w:r>
            <w:r>
              <w:rPr>
                <w:rFonts w:hint="eastAsia" w:ascii="宋体" w:hAnsi="宋体" w:eastAsia="宋体"/>
                <w:b w:val="0"/>
                <w:sz w:val="24"/>
              </w:rPr>
              <w:t>地点</w:t>
            </w:r>
          </w:p>
        </w:tc>
        <w:tc>
          <w:tcPr>
            <w:tcW w:w="5544" w:type="dxa"/>
            <w:noWrap w:val="0"/>
            <w:vAlign w:val="center"/>
          </w:tcPr>
          <w:p w14:paraId="0B926A5F">
            <w:pPr>
              <w:pStyle w:val="17"/>
              <w:keepNext w:val="0"/>
              <w:keepLines w:val="0"/>
              <w:pageBreakBefore w:val="0"/>
              <w:widowControl w:val="0"/>
              <w:kinsoku/>
              <w:wordWrap w:val="0"/>
              <w:overflowPunct/>
              <w:topLinePunct w:val="0"/>
              <w:bidi w:val="0"/>
              <w:spacing w:before="0" w:beforeAutospacing="0" w:after="0" w:afterAutospacing="0" w:line="360" w:lineRule="auto"/>
              <w:jc w:val="both"/>
              <w:textAlignment w:val="auto"/>
              <w:rPr>
                <w:rFonts w:hint="eastAsia" w:ascii="宋体" w:hAnsi="宋体" w:eastAsia="宋体"/>
                <w:b w:val="0"/>
                <w:bCs w:val="0"/>
                <w:sz w:val="24"/>
                <w:lang w:val="en-US" w:eastAsia="zh-CN"/>
              </w:rPr>
            </w:pPr>
            <w:r>
              <w:rPr>
                <w:rFonts w:hint="eastAsia" w:ascii="宋体" w:hAnsi="宋体" w:eastAsia="宋体"/>
                <w:b w:val="0"/>
                <w:bCs w:val="0"/>
                <w:sz w:val="24"/>
                <w:lang w:val="en-US" w:eastAsia="zh-CN"/>
              </w:rPr>
              <w:t xml:space="preserve">皖西学院笃行大道、博学大道交口东北区域扩建区范围（含博学大道延伸段）     </w:t>
            </w:r>
          </w:p>
        </w:tc>
      </w:tr>
      <w:tr w14:paraId="680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2642A45B">
            <w:pPr>
              <w:pStyle w:val="16"/>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54" w:type="dxa"/>
            <w:noWrap w:val="0"/>
            <w:vAlign w:val="center"/>
          </w:tcPr>
          <w:p w14:paraId="05A6B147">
            <w:pPr>
              <w:pStyle w:val="17"/>
              <w:keepNext w:val="0"/>
              <w:keepLines w:val="0"/>
              <w:pageBreakBefore w:val="0"/>
              <w:widowControl w:val="0"/>
              <w:kinsoku/>
              <w:wordWrap w:val="0"/>
              <w:overflowPunct/>
              <w:topLinePunct w:val="0"/>
              <w:bidi w:val="0"/>
              <w:spacing w:before="0" w:beforeAutospacing="0" w:after="0" w:afterAutospacing="0" w:line="360" w:lineRule="auto"/>
              <w:textAlignment w:val="auto"/>
              <w:rPr>
                <w:rFonts w:ascii="宋体" w:hAnsi="宋体" w:eastAsia="宋体"/>
                <w:b w:val="0"/>
                <w:sz w:val="24"/>
              </w:rPr>
            </w:pPr>
            <w:r>
              <w:rPr>
                <w:rFonts w:hint="eastAsia" w:ascii="宋体" w:hAnsi="宋体" w:eastAsia="宋体"/>
                <w:b w:val="0"/>
                <w:sz w:val="24"/>
                <w:lang w:val="en-US" w:eastAsia="zh-CN"/>
              </w:rPr>
              <w:t>服务</w:t>
            </w:r>
            <w:r>
              <w:rPr>
                <w:rFonts w:hint="eastAsia" w:ascii="宋体" w:hAnsi="宋体" w:eastAsia="宋体"/>
                <w:b w:val="0"/>
                <w:sz w:val="24"/>
              </w:rPr>
              <w:t>期限</w:t>
            </w:r>
          </w:p>
        </w:tc>
        <w:tc>
          <w:tcPr>
            <w:tcW w:w="5544" w:type="dxa"/>
            <w:noWrap w:val="0"/>
            <w:vAlign w:val="center"/>
          </w:tcPr>
          <w:p w14:paraId="2D582404">
            <w:pPr>
              <w:pStyle w:val="17"/>
              <w:keepNext w:val="0"/>
              <w:keepLines w:val="0"/>
              <w:pageBreakBefore w:val="0"/>
              <w:widowControl w:val="0"/>
              <w:kinsoku/>
              <w:wordWrap w:val="0"/>
              <w:overflowPunct/>
              <w:topLinePunct w:val="0"/>
              <w:bidi w:val="0"/>
              <w:spacing w:before="0" w:beforeAutospacing="0" w:after="0" w:afterAutospacing="0" w:line="360" w:lineRule="auto"/>
              <w:jc w:val="both"/>
              <w:textAlignment w:val="auto"/>
              <w:rPr>
                <w:rFonts w:hint="eastAsia" w:ascii="宋体" w:hAnsi="宋体" w:eastAsia="宋体"/>
                <w:b w:val="0"/>
                <w:bCs w:val="0"/>
                <w:sz w:val="24"/>
                <w:lang w:val="en-US" w:eastAsia="zh-CN"/>
              </w:rPr>
            </w:pPr>
            <w:r>
              <w:rPr>
                <w:rFonts w:hint="eastAsia" w:ascii="宋体" w:hAnsi="宋体" w:eastAsia="宋体"/>
                <w:b w:val="0"/>
                <w:bCs w:val="0"/>
                <w:sz w:val="24"/>
                <w:lang w:val="en-US" w:eastAsia="zh-CN"/>
              </w:rPr>
              <w:t>进驻之日起至2025年1月25日</w:t>
            </w:r>
          </w:p>
        </w:tc>
      </w:tr>
    </w:tbl>
    <w:p w14:paraId="231C03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二、采购需求</w:t>
      </w:r>
    </w:p>
    <w:p w14:paraId="11CEA1F3">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1.项目概况</w:t>
      </w:r>
    </w:p>
    <w:p w14:paraId="61056B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物业服务区域为笃行大道、博学大道交口东北区域扩建区范围（含博学大道延伸段）。主要包括皖西学院科技楼共8层，建筑面积约3.4万平米。货运电梯1部，消防电梯1部，客梯2部；1-2层男女卫生间各4个、步行楼梯11个；3-8层无障碍卫生间各1个、男女卫生间各2个、步行楼梯4个；公共会议室及报告厅11个，约2150平米；扩建区室外道路2700米，室外广场约25000平米等设施。</w:t>
      </w:r>
    </w:p>
    <w:p w14:paraId="56ABB5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2.服务内容</w:t>
      </w:r>
    </w:p>
    <w:p w14:paraId="7A76B6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r>
        <w:rPr>
          <w:rFonts w:hint="default" w:ascii="仿宋" w:hAnsi="仿宋" w:eastAsia="仿宋" w:cs="仿宋"/>
          <w:sz w:val="28"/>
          <w:szCs w:val="28"/>
          <w:lang w:val="en-US" w:eastAsia="zh-CN"/>
        </w:rPr>
        <w:t>会议服务：会议室卫生、会议室开关门、茶水服务，设备表面清洁、开关和故障报修。</w:t>
      </w:r>
    </w:p>
    <w:p w14:paraId="48B6D1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w:t>
      </w:r>
      <w:r>
        <w:rPr>
          <w:rFonts w:hint="default" w:ascii="仿宋" w:hAnsi="仿宋" w:eastAsia="仿宋" w:cs="仿宋"/>
          <w:sz w:val="28"/>
          <w:szCs w:val="28"/>
          <w:lang w:val="en-US" w:eastAsia="zh-CN"/>
        </w:rPr>
        <w:t>卫生保洁：室内保洁（含地面、墙面、天花板、门窗、课桌椅、讲台、楼梯道、楼梯扶手等）、开水间、卫生间；道路、路肩、绿化带、栏杆、垃圾清扫清运、水面保洁、墙面消防栓闸箱门、电箱门、开关、宣传栏面、灯具、电梯间内外、垃圾箱、管道表面、灭火器箱及其它摆放的设施及展览品表面的擦拭和清洁。</w:t>
      </w:r>
    </w:p>
    <w:p w14:paraId="1EE953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r>
        <w:rPr>
          <w:rFonts w:hint="default" w:ascii="仿宋" w:hAnsi="仿宋" w:eastAsia="仿宋" w:cs="仿宋"/>
          <w:sz w:val="28"/>
          <w:szCs w:val="28"/>
          <w:lang w:val="en-US" w:eastAsia="zh-CN"/>
        </w:rPr>
        <w:t>值班值守: 楼宇值班、楼宇及周边巡查，异常情况处置报告、师生报修受理。</w:t>
      </w:r>
    </w:p>
    <w:p w14:paraId="3BCCDE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w:t>
      </w:r>
      <w:r>
        <w:rPr>
          <w:rFonts w:hint="default" w:ascii="仿宋" w:hAnsi="仿宋" w:eastAsia="仿宋" w:cs="仿宋"/>
          <w:sz w:val="28"/>
          <w:szCs w:val="28"/>
          <w:lang w:val="en-US" w:eastAsia="zh-CN"/>
        </w:rPr>
        <w:t>安全管理：消防器材/设备查验点检（含灭火器、疏散指示灯、室内消火栓）、非机动车辆停放管理、安全通道管理、楼宇配电间（不含弱电，含弱电间强电）管理、水泵房（排污泵）管理、灭“四害”、防滑防冻、安全隐患排查整改及报告。火灾、地震等突发事故处置，雨雪冰冻、台风干旱等恶劣天气处置，以及其他涉及物业服务影响学校安全稳定的事件。</w:t>
      </w:r>
    </w:p>
    <w:p w14:paraId="55B0D2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r>
        <w:rPr>
          <w:rFonts w:hint="default" w:ascii="仿宋" w:hAnsi="仿宋" w:eastAsia="仿宋" w:cs="仿宋"/>
          <w:sz w:val="28"/>
          <w:szCs w:val="28"/>
          <w:lang w:val="en-US" w:eastAsia="zh-CN"/>
        </w:rPr>
        <w:t>水电保障:楼宇配电房、配电箱及室外配电柜巡查检修（不含高压配电房）、水电终端设备故障修复、楼宇配电间及以下线路及设备设施巡查检修，路灯、公共场所灯具及时开关；楼宇配电间（不含弱电，含弱电间强电）管理、水泵房（排污泵）管理。</w:t>
      </w:r>
    </w:p>
    <w:p w14:paraId="0FCF5B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r>
        <w:rPr>
          <w:rFonts w:hint="default" w:ascii="仿宋" w:hAnsi="仿宋" w:eastAsia="仿宋" w:cs="仿宋"/>
          <w:sz w:val="28"/>
          <w:szCs w:val="28"/>
          <w:lang w:val="en-US" w:eastAsia="zh-CN"/>
        </w:rPr>
        <w:t>维修维护：公共设施单件300元（不含）以下（此费用仅为材料费）零星维修和更新更换，不含新增加安装项；下水道清理。</w:t>
      </w:r>
    </w:p>
    <w:p w14:paraId="001716B3">
      <w:pPr>
        <w:keepNext w:val="0"/>
        <w:keepLines w:val="0"/>
        <w:pageBreakBefore w:val="0"/>
        <w:numPr>
          <w:ilvl w:val="0"/>
          <w:numId w:val="1"/>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服务要求</w:t>
      </w:r>
    </w:p>
    <w:p w14:paraId="01DAE4BD">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3.1岗位设置及人员要求</w:t>
      </w:r>
    </w:p>
    <w:p w14:paraId="5C34B8AD">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3.1.1  岗位设置</w:t>
      </w:r>
    </w:p>
    <w:p w14:paraId="4D97C9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FF0000"/>
          <w:sz w:val="28"/>
          <w:szCs w:val="28"/>
          <w:lang w:val="en-US" w:eastAsia="zh-CN"/>
        </w:rPr>
      </w:pPr>
      <w:r>
        <w:rPr>
          <w:rFonts w:hint="eastAsia" w:ascii="仿宋" w:hAnsi="仿宋" w:eastAsia="仿宋" w:cs="仿宋"/>
          <w:sz w:val="28"/>
          <w:szCs w:val="28"/>
          <w:lang w:val="en-US" w:eastAsia="zh-CN"/>
        </w:rPr>
        <w:t>正常开学期间，岗位人员配备的最低数量要求不少于20人，如比选申请人因寒假等因素，对人员数或工作岗位进行调整需提前书面报告采购人，得到采购人书面同意后方可进行。在物业服务费结算时，将按照每少一人扣减物业服务费3000元的标准据实结算。</w:t>
      </w:r>
    </w:p>
    <w:tbl>
      <w:tblPr>
        <w:tblStyle w:val="14"/>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449"/>
        <w:gridCol w:w="1129"/>
        <w:gridCol w:w="2273"/>
        <w:gridCol w:w="1604"/>
      </w:tblGrid>
      <w:tr w14:paraId="5C17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90" w:type="dxa"/>
            <w:vAlign w:val="center"/>
          </w:tcPr>
          <w:p w14:paraId="0D587D6A">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序号</w:t>
            </w:r>
          </w:p>
        </w:tc>
        <w:tc>
          <w:tcPr>
            <w:tcW w:w="2449" w:type="dxa"/>
            <w:vAlign w:val="center"/>
          </w:tcPr>
          <w:p w14:paraId="09269FFF">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岗位类别</w:t>
            </w:r>
          </w:p>
        </w:tc>
        <w:tc>
          <w:tcPr>
            <w:tcW w:w="1129" w:type="dxa"/>
            <w:vAlign w:val="center"/>
          </w:tcPr>
          <w:p w14:paraId="3659908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岗位</w:t>
            </w:r>
            <w:r>
              <w:rPr>
                <w:rFonts w:hint="eastAsia" w:ascii="仿宋" w:hAnsi="仿宋" w:eastAsia="仿宋" w:cs="仿宋"/>
                <w:color w:val="auto"/>
                <w:kern w:val="0"/>
                <w:sz w:val="24"/>
                <w:szCs w:val="24"/>
                <w:lang w:bidi="ar"/>
              </w:rPr>
              <w:t>数</w:t>
            </w:r>
          </w:p>
        </w:tc>
        <w:tc>
          <w:tcPr>
            <w:tcW w:w="2273" w:type="dxa"/>
            <w:vAlign w:val="center"/>
          </w:tcPr>
          <w:p w14:paraId="384A71B1">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岗位要求</w:t>
            </w:r>
          </w:p>
        </w:tc>
        <w:tc>
          <w:tcPr>
            <w:tcW w:w="1604" w:type="dxa"/>
            <w:vAlign w:val="center"/>
          </w:tcPr>
          <w:p w14:paraId="0C7FF0D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备注</w:t>
            </w:r>
          </w:p>
        </w:tc>
      </w:tr>
      <w:tr w14:paraId="5B12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90" w:type="dxa"/>
            <w:vAlign w:val="center"/>
          </w:tcPr>
          <w:p w14:paraId="257B3994">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2449" w:type="dxa"/>
            <w:vAlign w:val="center"/>
          </w:tcPr>
          <w:p w14:paraId="4B36B7C9">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室内外保洁员</w:t>
            </w:r>
          </w:p>
        </w:tc>
        <w:tc>
          <w:tcPr>
            <w:tcW w:w="1129" w:type="dxa"/>
            <w:vAlign w:val="center"/>
          </w:tcPr>
          <w:p w14:paraId="186DCFF7">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12</w:t>
            </w:r>
          </w:p>
        </w:tc>
        <w:tc>
          <w:tcPr>
            <w:tcW w:w="2273" w:type="dxa"/>
            <w:vAlign w:val="center"/>
          </w:tcPr>
          <w:p w14:paraId="760C82D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p>
        </w:tc>
        <w:tc>
          <w:tcPr>
            <w:tcW w:w="1604" w:type="dxa"/>
            <w:vAlign w:val="center"/>
          </w:tcPr>
          <w:p w14:paraId="2B57B7F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p>
        </w:tc>
      </w:tr>
      <w:tr w14:paraId="0A79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vAlign w:val="center"/>
          </w:tcPr>
          <w:p w14:paraId="5E439856">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2449" w:type="dxa"/>
            <w:vAlign w:val="center"/>
          </w:tcPr>
          <w:p w14:paraId="5BF06FD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值班员（含安全管理）</w:t>
            </w:r>
          </w:p>
        </w:tc>
        <w:tc>
          <w:tcPr>
            <w:tcW w:w="1129" w:type="dxa"/>
            <w:vAlign w:val="center"/>
          </w:tcPr>
          <w:p w14:paraId="578E9D9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p>
        </w:tc>
        <w:tc>
          <w:tcPr>
            <w:tcW w:w="2273" w:type="dxa"/>
            <w:vAlign w:val="center"/>
          </w:tcPr>
          <w:p w14:paraId="0D478FB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p>
        </w:tc>
        <w:tc>
          <w:tcPr>
            <w:tcW w:w="1604" w:type="dxa"/>
            <w:vAlign w:val="center"/>
          </w:tcPr>
          <w:p w14:paraId="510194A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24小时值班</w:t>
            </w:r>
          </w:p>
        </w:tc>
      </w:tr>
      <w:tr w14:paraId="21F1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vAlign w:val="center"/>
          </w:tcPr>
          <w:p w14:paraId="3A53179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w:t>
            </w:r>
          </w:p>
        </w:tc>
        <w:tc>
          <w:tcPr>
            <w:tcW w:w="2449" w:type="dxa"/>
            <w:vAlign w:val="center"/>
          </w:tcPr>
          <w:p w14:paraId="41B7ADD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水电保障及维修服务</w:t>
            </w:r>
          </w:p>
        </w:tc>
        <w:tc>
          <w:tcPr>
            <w:tcW w:w="1129" w:type="dxa"/>
            <w:vAlign w:val="center"/>
          </w:tcPr>
          <w:p w14:paraId="0E87082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2273" w:type="dxa"/>
            <w:vAlign w:val="center"/>
          </w:tcPr>
          <w:p w14:paraId="00B756D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具有水电操作证</w:t>
            </w:r>
          </w:p>
        </w:tc>
        <w:tc>
          <w:tcPr>
            <w:tcW w:w="1604" w:type="dxa"/>
            <w:vAlign w:val="center"/>
          </w:tcPr>
          <w:p w14:paraId="3FDC3FB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24小时驻校</w:t>
            </w:r>
          </w:p>
        </w:tc>
      </w:tr>
      <w:tr w14:paraId="6BD7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vAlign w:val="center"/>
          </w:tcPr>
          <w:p w14:paraId="281B4224">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p>
        </w:tc>
        <w:tc>
          <w:tcPr>
            <w:tcW w:w="2449" w:type="dxa"/>
            <w:vAlign w:val="center"/>
          </w:tcPr>
          <w:p w14:paraId="09791524">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会议服务</w:t>
            </w:r>
          </w:p>
        </w:tc>
        <w:tc>
          <w:tcPr>
            <w:tcW w:w="1129" w:type="dxa"/>
            <w:vAlign w:val="center"/>
          </w:tcPr>
          <w:p w14:paraId="72A1A037">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2273" w:type="dxa"/>
            <w:vAlign w:val="center"/>
          </w:tcPr>
          <w:p w14:paraId="6C92635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服务期内年龄不超过45周岁，形象气质佳</w:t>
            </w:r>
          </w:p>
        </w:tc>
        <w:tc>
          <w:tcPr>
            <w:tcW w:w="1604" w:type="dxa"/>
            <w:vAlign w:val="center"/>
          </w:tcPr>
          <w:p w14:paraId="5493D45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p>
        </w:tc>
      </w:tr>
      <w:tr w14:paraId="135E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vAlign w:val="center"/>
          </w:tcPr>
          <w:p w14:paraId="3048831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w:t>
            </w:r>
          </w:p>
        </w:tc>
        <w:tc>
          <w:tcPr>
            <w:tcW w:w="2449" w:type="dxa"/>
            <w:vAlign w:val="center"/>
          </w:tcPr>
          <w:p w14:paraId="2643091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运维主管</w:t>
            </w:r>
          </w:p>
        </w:tc>
        <w:tc>
          <w:tcPr>
            <w:tcW w:w="1129" w:type="dxa"/>
            <w:vAlign w:val="center"/>
          </w:tcPr>
          <w:p w14:paraId="40FEA806">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2273" w:type="dxa"/>
            <w:vAlign w:val="center"/>
          </w:tcPr>
          <w:p w14:paraId="30BBEFE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有良好的沟通能力和应急处置能力，具有一定的物业管理</w:t>
            </w:r>
            <w:r>
              <w:rPr>
                <w:rFonts w:hint="eastAsia" w:ascii="仿宋" w:hAnsi="仿宋" w:eastAsia="仿宋" w:cs="仿宋"/>
                <w:color w:val="auto"/>
                <w:kern w:val="0"/>
                <w:sz w:val="24"/>
                <w:szCs w:val="24"/>
                <w:lang w:val="en-US" w:eastAsia="zh-CN" w:bidi="ar"/>
              </w:rPr>
              <w:t>经验</w:t>
            </w:r>
          </w:p>
        </w:tc>
        <w:tc>
          <w:tcPr>
            <w:tcW w:w="1604" w:type="dxa"/>
            <w:vAlign w:val="center"/>
          </w:tcPr>
          <w:p w14:paraId="3F57D61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p>
        </w:tc>
      </w:tr>
    </w:tbl>
    <w:p w14:paraId="428591E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p>
    <w:p w14:paraId="3C7C15A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3.1.2  人员要求</w:t>
      </w:r>
    </w:p>
    <w:p w14:paraId="26ABD3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有良好的职业道德，严格遵守从业规范和学校各项规章制度。身体健康、无传染性疾病及精神病史，提供一年内二级及以上医院体检证明，体貌端正，无违法犯罪记录（提供公安部门开具的证明）。上岗时须着带有公司标识的统一服装，仪容仪表规范整齐。</w:t>
      </w:r>
    </w:p>
    <w:p w14:paraId="00467A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②自觉维护采购人形象和师生利益，具有较强的责任感和吃苦耐劳精神比选申请人应提供礼貌、热情、周到、严谨、规范的服务；按时到岗、离岗，不迟到、不早退；严禁擅自离岗、串岗；严禁酒后上班；严禁在岗聊天、玩手机、大声喧哗、读书看报、吃零食；举止文明，微笑服务，严禁与师生发生冲突。   </w:t>
      </w:r>
    </w:p>
    <w:p w14:paraId="139FD5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③比选申请人应积极、主动地加强与采购人的联系、沟通，多途径、多渠道征询和听取意见，不断改进工作。 </w:t>
      </w:r>
    </w:p>
    <w:p w14:paraId="6449874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3.1.3 工作要求</w:t>
      </w:r>
    </w:p>
    <w:p w14:paraId="20785C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采购人配备必要的施工工具（如保洁工具、维修工具、垃圾清运工具等），具备调用铲车、吊车、登高车、抽水机、吸尘器等机械设备的能力，具备高空作业和防护能力；在物业维修服务范围内的易损部件（如水笼头、闸阀、灯具等）应长期备货。</w:t>
      </w:r>
    </w:p>
    <w:p w14:paraId="129BB9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采购人为服务人员提供一定数量的办公场所、值班室和储物间，未经批准不得占用任何其他用房，不得在校园从事违法违规及其他经营性活动；不得使用违规电器、不得有除在规定场所外从事烧饭、蒸煮等违规行为。</w:t>
      </w:r>
    </w:p>
    <w:p w14:paraId="3F553E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③应科学合理安排各类作业服务时间，一般不得影响正常的教学、办公和学习、生活秩序。</w:t>
      </w:r>
    </w:p>
    <w:p w14:paraId="711705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④各类作业服务应按行业规范要求做好安全防护，负责全部安全责任；若因操作不当或安全防护措施不到位等造成学校财产损失或人身伤亡的，由比选申请人负责承担全部的事故责任和经济责任。</w:t>
      </w:r>
    </w:p>
    <w:p w14:paraId="6C0806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应自觉遵守并执行学校相关管理制度和工作规范，主动接受监督检查，严格履行合同和相关投标承诺，如有违反,采购人有权要求比选申请人限期整改,逾期未整改的,采购人有权解除合同,解除合同后服务费无需支付,同时比选申请人还需支付合同总价10%的违约金，采购人可直接扣除履约保证金，不足部分，比选申请人应予以补齐。造成采购人经济损失的，若违约金不足弥补采购人的损失，由比选申请人应予以补齐。</w:t>
      </w:r>
    </w:p>
    <w:p w14:paraId="6B36F4A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4.服务标准和要求 </w:t>
      </w:r>
    </w:p>
    <w:p w14:paraId="64B7954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4.1会议服务</w:t>
      </w:r>
    </w:p>
    <w:p w14:paraId="38C4FCB5">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4.1.1会议准备</w:t>
      </w:r>
    </w:p>
    <w:p w14:paraId="659D9A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①熟知举办会议单位与会人数、会议主题、时间、台型要求、所需物品与设备及特殊要求；检查卫生是否干净，音频视频等设备是否正常。</w:t>
      </w:r>
    </w:p>
    <w:p w14:paraId="23BAD6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②会议桌椅摆放要整齐，在一条直线上；盖杯要放在杯垫上，摆在座位的右上方，杯把朝右侧，在一条直线上；席卡摆在座位正前方，在一条直线上。</w:t>
      </w:r>
    </w:p>
    <w:p w14:paraId="075D2E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③检查台形是否符合要求，台面要整洁，各种用具干净、齐全，摆放符合标准。</w:t>
      </w:r>
    </w:p>
    <w:p w14:paraId="40D855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④会议开始前30分钟，将会议室打开、备好充足开水，开启照明、根据季节和天气情况开启调节空调温度。</w:t>
      </w:r>
    </w:p>
    <w:p w14:paraId="77723C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⑤引导服务(电梯间、会议室门口引导)；当客人来到会议室时，会服人员应礼貌热情地向客人问好并以手势示意，请客人进入会议室入座。</w:t>
      </w:r>
    </w:p>
    <w:p w14:paraId="3E1658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4.1.2会议中</w:t>
      </w:r>
    </w:p>
    <w:p w14:paraId="733376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①服务员在会议室服务时，应抬头挺胸、大方得体；动作敏捷，轻拿轻放，茶水倒至8分满。</w:t>
      </w:r>
    </w:p>
    <w:p w14:paraId="63EFE0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②先到达的客人入座以后，服务员从客人右侧提供茶水服务，会议期间提供茶水服务从主席台或领导开始。</w:t>
      </w:r>
    </w:p>
    <w:p w14:paraId="73031E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③保持会场安静，做到“三轻”“四勤”，不打扰客人；物品须轻拿轻放；询问客人时，音量要控制在最小，以免打断会议的正常进行。</w:t>
      </w:r>
    </w:p>
    <w:p w14:paraId="355B5C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④会议添加茶水频次分别为：会议开始阶段（半小时）每15分钟添加一次茶水，其余时段30分钟添加一次茶水。</w:t>
      </w:r>
    </w:p>
    <w:p w14:paraId="652C897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4.1.3会议后</w:t>
      </w:r>
    </w:p>
    <w:p w14:paraId="4E8A5F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会议结束时，用具、设备整理好，关闭空调、电灯、窗和设备；锁好会议室门，物品复位；做好卫生保洁和垃圾清理。</w:t>
      </w:r>
    </w:p>
    <w:p w14:paraId="509506CC">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4.2  卫生保洁</w:t>
      </w:r>
    </w:p>
    <w:p w14:paraId="6438F6D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4.2.1 保洁范围</w:t>
      </w:r>
    </w:p>
    <w:p w14:paraId="67611E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①室内功能间：教室、自习室、展厅、报告厅、配电间、公共会议室、会议准备间、卫生间、开水间、教室休息室等地面、墙面、台阶、栏杆、天花板、地角线、门窗、窗帘等（具体以采购人提供场所清单为准，未纳入物业管理的功能间如办公室、专用教室、实验室、教研室、各二级单位会议室等不在保洁范围）。 </w:t>
      </w:r>
    </w:p>
    <w:p w14:paraId="322661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②室内公共区：安全通道、楼梯道、过道（走廊）、大厅、庭院、等地面、墙面、台阶、栏杆、天花板、地角线、门窗、窗帘等。</w:t>
      </w:r>
    </w:p>
    <w:p w14:paraId="615A80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设施设备：家具、公共会议室课桌椅、电梯箱门、灯具、空调表面、管道表面、消防栓闸箱门、电箱门、标识（标牌）、开关面板、宣传橱窗、垃圾箱（桶）、讲台、黑板、楼梯扶手、栏杆、管道、灭火器箱、景观石、雕塑、喷泉、马桶、小便器、大便池、洗手台、垃圾桶、水槽、水箱、雨棚（含门厅雨棚）、室外配电柜、路灯杆、路障、户外座椅、花箱等，其他公共区域摆放的三米及以下设施。</w:t>
      </w:r>
    </w:p>
    <w:p w14:paraId="591BD8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④室外区域：广场、运动场、道路、路肩、水面、绿化带、室外走廊、室外庭院景观带、裸露或未绿化地块、栏杆、露台、平台、楼顶、其他室外功能区。</w:t>
      </w:r>
    </w:p>
    <w:p w14:paraId="74F05D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⑤其他：垃圾清扫清运、清洗消毒、杂物（含牛皮癣、小广告）清理。</w:t>
      </w:r>
    </w:p>
    <w:p w14:paraId="7AD2010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4.2.2服务标准及要求</w:t>
      </w:r>
    </w:p>
    <w:p w14:paraId="61CB37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 总体要求：室内外及设施设备全天保持干净整洁，无杂物、无白色垃圾、无灰尘、无蜘蛛网、无尘吊、无污渍、无水渍、无锈迹、无小广告和张贴物，无杂草、无落叶及其他易燃物；设施设备、标识牌保持干净整洁，无污渍、无灰尘、无小广告和张贴物；玻璃洁净明亮，窗台窗帘无灰尘；垃圾及时入垃圾桶，垃圾桶及时清理并保持内外整洁。</w:t>
      </w:r>
    </w:p>
    <w:p w14:paraId="377CBB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②具体要求</w:t>
      </w:r>
    </w:p>
    <w:p w14:paraId="617125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室内功能区及公共区：教室、自习室、教师休息室等室内功能间每天清扫、拖洗不少于三次。卫生间、开水间每天清洗不少于四次，洁具内无异物，地面无污迹杂物、无积水、不湿滑，卫生间根据实际情况投放卫生球、芳香剂，保持空气清新无异味；大便坑、小便池、地漏保持畅通；无跑冒滴漏等现象。其他室内功能间根据使用频次和学校需求合理安排清扫、拖洗频次。</w:t>
      </w:r>
    </w:p>
    <w:p w14:paraId="4C7140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室外区域：道路、路肩、地面、平台、台阶、广场每周清洗一次；道路路肩每天清扫不少于三次；平台、台阶、广场每天清扫不少于一次，进出口平台、台阶、走廊雨雪天气无积水、积雪，不湿滑；楼顶无杂物，并保持下水畅通；废旧标语条幅及时清理；垃圾杂物随有随清；垃圾及时清理外运；重要路段、人流量较大的出入口、十字路口等每天上班半小时前清扫到位。 全天保持卫生干净整洁。</w:t>
      </w:r>
    </w:p>
    <w:p w14:paraId="2AD450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3）设施设备：表面清洁（不含需要拆装的设备内部），综合采用物理除尘、化学除尘、静电除尘等方式，避免对电器设备造成损坏。</w:t>
      </w:r>
    </w:p>
    <w:p w14:paraId="2A3C8A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4）除“四害”：及时开展灭鼠灭蟑及除蚊蝇消毒工作，日常发现鼠蟑害及时处理。 </w:t>
      </w:r>
    </w:p>
    <w:p w14:paraId="388A58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垃圾清理清运：保持室内垃圾每天至少清理两次，室内、走廊、楼道及其他位置无垃圾堆放；室外垃圾桶每天至少清理两次，室外除垃圾集中堆放点外，其他位置无垃圾堆放，垃圾集中堆放点垃圾每天清理外运不低于一次。垃圾清理包括校园内所有生活垃圾、绿化垃圾、厨余垃圾、小量维修建筑垃圾。</w:t>
      </w:r>
    </w:p>
    <w:p w14:paraId="50CDCF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6）电梯：自动移门滑槽内的异物和垃圾、出风口灰尘及时清理；配备地垫及时更换、清洗、晾晒；每周清洗至少一次。</w:t>
      </w:r>
    </w:p>
    <w:p w14:paraId="7F36CC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7）如校园发生传染性疾病，在校医院的指导下负责做好公共区域的消毒消杀并做好环境物表消毒登记；如遇聚集性疫情，在属地疾控部门指导下完成卫生环境清理和消毒消杀工作。</w:t>
      </w:r>
    </w:p>
    <w:p w14:paraId="3439C5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8）清洁工具：配备拖把、笤帚、抹布、水桶等；装运工具：垃圾清运车、室外大型塑料垃圾桶，卫生间洗手间纸篓、垃圾桶等。</w:t>
      </w:r>
    </w:p>
    <w:p w14:paraId="32AEE57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4.3.值班值守</w:t>
      </w:r>
    </w:p>
    <w:p w14:paraId="4DF7A150">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4.3.1  值班人员须提前30分钟到岗；准时开关楼宇或区域大门，具体时间根据学校要求安排。</w:t>
      </w:r>
    </w:p>
    <w:p w14:paraId="60DF8743">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4.3.2  按时到岗、离岗，不迟到、不早退；严禁擅自离岗、串岗；严禁在岗聊天、大声喧哗、读书看报、吃零食、玩手机；举止文明，严禁态度粗暴。    </w:t>
      </w:r>
    </w:p>
    <w:p w14:paraId="2B6C7A92">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4.3.3  24小时值班值守，每日检查水、电设备设施运行情况，确保安全，正常使用。负责公共场所节能管理，每小时巡查一次，及时开启关闭水电设备，及时维修损坏的水电设备，不属于物业维修的及时报告学校后勤部门。 </w:t>
      </w:r>
    </w:p>
    <w:p w14:paraId="7ACC4476">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4.3.4  负责人员进出管理，对可疑人物进行认真询问检查，严防非法人员进入，遇到异常情况需及时妥善处置并立即向安全保卫部门或110报告。 </w:t>
      </w:r>
    </w:p>
    <w:p w14:paraId="0E16E955">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4.3.5  负责楼宇及周边治安巡查，发现安全隐患及时向安全保卫部门或110报告，并做好现场初步处置。 </w:t>
      </w:r>
    </w:p>
    <w:p w14:paraId="3CD05476">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4.3.6  负责楼宇及室内外安全疏散通道管理，确保安全通道畅通。 </w:t>
      </w:r>
    </w:p>
    <w:p w14:paraId="48155FA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4.3.7 负责楼宇及周边消防安全巡查，熟练掌握消火栓、灭火器使用方法，发现初起火情立即组织扑救并报119，迅速组织人员有序疏散。 </w:t>
      </w:r>
    </w:p>
    <w:p w14:paraId="1972071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4.3.8  加强对员工的安全知识技能培训，发生突发安全事件能有效科学处置。 </w:t>
      </w:r>
    </w:p>
    <w:p w14:paraId="27039A96">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4.3.9  其他未尽事宜以学校相关部门要求为准， 并接受监督检查。 </w:t>
      </w:r>
    </w:p>
    <w:p w14:paraId="0409C45C">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4.4 安全管理</w:t>
      </w:r>
    </w:p>
    <w:p w14:paraId="40A74CE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4.4.1  非机动车停放管理，及时劝阻、制止车辆违规停放，校园无车辆乱停乱放现象；严防非机动车特别是电动车进楼入户。严禁机动车辆进入公寓。</w:t>
      </w:r>
    </w:p>
    <w:p w14:paraId="5C4B9AEC">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4.4.2  协助学校开展治安巡查，发现可疑人物、可疑情况及时向安全保卫部门报告。 </w:t>
      </w:r>
    </w:p>
    <w:p w14:paraId="6729DE80">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4.4.3  协助安全保卫部门开展流浪猫、狗等宠物（动物）捕获工作，发现情况及时报告。</w:t>
      </w:r>
    </w:p>
    <w:p w14:paraId="6865B98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4.4.4  及时发现并清理乱张贴的标语、广告，尤其是违法违规标语广告。 </w:t>
      </w:r>
    </w:p>
    <w:p w14:paraId="6604FB55">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4.4.5  安全疏散通道管理，禁止楼梯道、安全出口、公共区域堆放杂物，确保安全通道畅通。</w:t>
      </w:r>
    </w:p>
    <w:p w14:paraId="2781DF7F">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4.4.6  负责楼宇间配电房、配电箱、室外配电柜（高压配电房除外）安全管理；负责楼宇配电间及以下线路和设备的检修工作。 </w:t>
      </w:r>
    </w:p>
    <w:p w14:paraId="3BF7CCEC">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4.4.7  严禁公共场所私拉乱接电线、飞线充电。</w:t>
      </w:r>
    </w:p>
    <w:p w14:paraId="105BB2E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4.4.8  协助保卫处做好消防设施设备安全检查，对消火栓、灭火器、安全指示灯进行检查，对过期产品、指示灯不亮等情况及时反馈消防管理部门。</w:t>
      </w:r>
    </w:p>
    <w:p w14:paraId="5D776042">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4.4.9 做好节假日等重要时段、恶劣天气时的应急值守和安全检查巡查，及时消除安全隐患，如遇突发情况及时报告；根据学校要求在节假日或恶劣天气时水电关停工作。 </w:t>
      </w:r>
    </w:p>
    <w:p w14:paraId="369AAAA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4.4.10  加强对员工的安全知识技能培训，发生突发安全事件能及时有效科学处置。</w:t>
      </w:r>
    </w:p>
    <w:p w14:paraId="775AD376">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4.4.11 结合学校实际分类制定防汛抗旱、低温冷冻天气、地震灾害、火灾等突发事件应急处置预案，并组织演练。</w:t>
      </w:r>
    </w:p>
    <w:p w14:paraId="58F03F9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4.4.12  加强员工培训，切实提升应急处置能力和水平，根据学校要求配备必要设施设备和应急物资。</w:t>
      </w:r>
    </w:p>
    <w:p w14:paraId="66BE2C92">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4.5水电保障</w:t>
      </w:r>
    </w:p>
    <w:p w14:paraId="17D1F2A1">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4.5.1  根据学校实际制定科学有效的供电保障服务方案，每日开展楼宇配电间检查，每半年开展一次楼宇配电间至用户线路检查，及时更换照明设备，确保用电稳定。</w:t>
      </w:r>
    </w:p>
    <w:p w14:paraId="6B06A7C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4.5.2  出现断水断电等情况，及时到现场排查原因，比选申请人应及时进行维修，复正常供电。</w:t>
      </w:r>
    </w:p>
    <w:p w14:paraId="5B1AED2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4.5.3  校内路灯根据季节和时间变化，适时调整开关时间。</w:t>
      </w:r>
    </w:p>
    <w:p w14:paraId="6B96CE3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4.5.4  做好考试、重要会议、重大活动的水电保障；根据时间要求及时开展事前巡检、事中值班及突发事故处理。</w:t>
      </w:r>
    </w:p>
    <w:p w14:paraId="6A2E739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4.6 维修服务</w:t>
      </w:r>
    </w:p>
    <w:p w14:paraId="1E1F66E7">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4.6.1  维修更换范围</w:t>
      </w:r>
    </w:p>
    <w:p w14:paraId="0A6238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服务范围内公共设施单件300元（不含）以下（限指材料费）零星维修服务以及其他配件更新更换服务（不含新增加安装项），包含以下设施和部位。</w:t>
      </w:r>
    </w:p>
    <w:p w14:paraId="23614E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①楼宇课桌椅、锁具、灯具、开关、插座维修养护；楼宇配电间以下线路、供电设备设施（含教工住宅楼道内电表箱）维修维护；户外座椅、围栏、景观池设施设备维修维护；窗帘维修（不含窗帘布）。</w:t>
      </w:r>
    </w:p>
    <w:p w14:paraId="5338FB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②楼宇洗手间（卫生间）水笼头、水管网、闸阀、冲水阀更换；开关、灯具更换（含室外及楼梯道路灯）；窗户、护栏（展架）玻璃更换，楼道及室外路灯更换。</w:t>
      </w:r>
    </w:p>
    <w:p w14:paraId="5412FE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③服务区域楼宇内外各类排水、排污管道(包括管、沟、井、池)的池体、池盖维修更换及堵塞的疏通；楼宇落水管残缺、破损的予以更换维修，堵塞的予以疏通。</w:t>
      </w:r>
    </w:p>
    <w:p w14:paraId="38DECA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维修内容不含维修主体为装饰、装修等涉及土建的作业内容；不含空调、教学科研设备仪器、体育器材的维修更换；不含电子锁具的维修更换；不含由采购人自行购买维修服务项目的维修更换。室外地下供水管道、消防管道、供电电缆损坏由学校负责开挖维修更换以及路面恢复，室内由比选申请人负责维修更换以及开挖恢复（包括土建）。</w:t>
      </w:r>
    </w:p>
    <w:p w14:paraId="1AB7DB92">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4.6.2  服务标准及要求</w:t>
      </w:r>
    </w:p>
    <w:p w14:paraId="77E697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①维修维护工作必须符合国家或行业规范，确保安全，确保教学、科研、生活秩序正常，随报随修，小修不超过2小时、大修一般不超过24小时，并做好公示公告。</w:t>
      </w:r>
    </w:p>
    <w:p w14:paraId="6E0C88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②物业工作人员应每日巡查检查，及时发现问题及时维修或按照程序报修。</w:t>
      </w:r>
    </w:p>
    <w:p w14:paraId="7387DF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③定期巡视巡查，对设施设备运行、检查和维护情况要有详细的数据记录，巡回检查率达到 100%。</w:t>
      </w:r>
    </w:p>
    <w:p w14:paraId="6E92EC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④维修人员工作时间常驻学校，建立 24 小时运行和维修值班制度，礼貌待人，文明服务，接到报修通知后，紧急报修15分钟内到场进行维修抢修。维修时按规范做好安全防范措施，维修工作完毕后，清理现场。</w:t>
      </w:r>
    </w:p>
    <w:p w14:paraId="5CA192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⑤对供电线路、灯具、开关、路灯、霓虹灯等设施设备的运营情况进行定期巡检，做好巡检记录，保证正常照明和安全用电，室内外各类开关插座保持完好。</w:t>
      </w:r>
    </w:p>
    <w:p w14:paraId="7ABBE8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⑥对给排水等设施进行定期巡检，做好巡检记录，发现损坏，及时维修。</w:t>
      </w:r>
    </w:p>
    <w:p w14:paraId="75B81E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⑦维修主材符合国家质量标准，施工须符合施工规范。</w:t>
      </w:r>
    </w:p>
    <w:p w14:paraId="20D95E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⑧保持下水管道、落水管的畅通，承担下水管道的疏通及化粪池清淤，并做到随堵随疏、随满随清。 下水管道疏通指化粪池前端管道（包含化粪池），不含学校主下水管道。</w:t>
      </w:r>
    </w:p>
    <w:p w14:paraId="6E7489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以上维修内容属于质保期内的由施工方负责，但物业有责任采取临时有效措施。</w:t>
      </w:r>
    </w:p>
    <w:p w14:paraId="2585243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4.7  重大活动保障</w:t>
      </w:r>
    </w:p>
    <w:p w14:paraId="7AAC08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采购人上级或兄弟单位来校检查、视察、参观，以及采购人开展重大活动或有其他突击性任务时，比选申请人应当无附加条件地按照采购人的要求和安排，完成物业管理与服务任务。</w:t>
      </w:r>
    </w:p>
    <w:p w14:paraId="65B36A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rPr>
      </w:pPr>
      <w:r>
        <w:rPr>
          <w:rFonts w:hint="eastAsia" w:ascii="仿宋" w:hAnsi="仿宋" w:eastAsia="仿宋" w:cs="仿宋"/>
          <w:sz w:val="28"/>
          <w:szCs w:val="28"/>
          <w:lang w:val="en-US" w:eastAsia="zh-CN"/>
        </w:rPr>
        <w:t>根据采购人要求配备足够的服务人员，负责活动场所卫生保洁、开水供应、会场服务、场所封闭、非机动车停放管理，做好电力保障。</w:t>
      </w:r>
    </w:p>
    <w:p w14:paraId="36FA12EB">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bCs/>
          <w:sz w:val="28"/>
          <w:szCs w:val="28"/>
        </w:rPr>
      </w:pPr>
      <w:r>
        <w:rPr>
          <w:rFonts w:hint="eastAsia" w:ascii="仿宋" w:hAnsi="仿宋" w:eastAsia="仿宋" w:cs="仿宋"/>
          <w:b/>
          <w:bCs/>
          <w:sz w:val="28"/>
          <w:szCs w:val="28"/>
        </w:rPr>
        <w:t>五、验收</w:t>
      </w:r>
    </w:p>
    <w:p w14:paraId="28FC89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由采购人组织验收小组参照《校园物业监督管理办法（试行）》在合同履行完毕后将评分平均值×60%＋师生满意度测评平均分×40%。评分按照以下标准进行评分，满分100分，验收小组评分的平均值低于70分，验收不合格。</w:t>
      </w:r>
    </w:p>
    <w:p w14:paraId="55B85E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3"/>
        <w:gridCol w:w="2138"/>
      </w:tblGrid>
      <w:tr w14:paraId="3AE8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66F001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sz w:val="28"/>
                <w:szCs w:val="28"/>
              </w:rPr>
            </w:pPr>
            <w:r>
              <w:rPr>
                <w:rFonts w:ascii="仿宋" w:hAnsi="仿宋" w:eastAsia="仿宋"/>
                <w:b/>
                <w:sz w:val="28"/>
                <w:szCs w:val="28"/>
              </w:rPr>
              <w:t>服务质量检查</w:t>
            </w:r>
            <w:r>
              <w:rPr>
                <w:rFonts w:hint="eastAsia" w:ascii="仿宋" w:hAnsi="仿宋" w:eastAsia="仿宋"/>
                <w:b/>
                <w:sz w:val="28"/>
                <w:szCs w:val="28"/>
              </w:rPr>
              <w:t>内容</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E0684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sz w:val="28"/>
                <w:szCs w:val="28"/>
              </w:rPr>
            </w:pPr>
            <w:r>
              <w:rPr>
                <w:rFonts w:ascii="仿宋" w:hAnsi="仿宋" w:eastAsia="仿宋"/>
                <w:b/>
                <w:sz w:val="28"/>
                <w:szCs w:val="28"/>
              </w:rPr>
              <w:t>扣分</w:t>
            </w:r>
          </w:p>
        </w:tc>
      </w:tr>
      <w:tr w14:paraId="6242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27043D04">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灭火器有无缺失、室内外消防栓及玻璃有无损坏（无上报记录）</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37A7979">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未达到要求，发现一项扣</w:t>
            </w:r>
            <w:r>
              <w:rPr>
                <w:rFonts w:hint="eastAsia" w:ascii="仿宋" w:hAnsi="仿宋" w:eastAsia="仿宋"/>
                <w:lang w:val="en-US" w:eastAsia="zh-CN"/>
              </w:rPr>
              <w:t>2</w:t>
            </w:r>
            <w:r>
              <w:rPr>
                <w:rFonts w:ascii="仿宋" w:hAnsi="仿宋" w:eastAsia="仿宋"/>
              </w:rPr>
              <w:t>分</w:t>
            </w:r>
          </w:p>
        </w:tc>
      </w:tr>
      <w:tr w14:paraId="0CB0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74A7B928">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应急灯是否完好、安全指示牌有无损坏（无上报记录）</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4660F2">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未达到要求，发现一项扣</w:t>
            </w:r>
            <w:r>
              <w:rPr>
                <w:rFonts w:hint="eastAsia" w:ascii="仿宋" w:hAnsi="仿宋" w:eastAsia="仿宋"/>
                <w:lang w:val="en-US" w:eastAsia="zh-CN"/>
              </w:rPr>
              <w:t>2</w:t>
            </w:r>
            <w:r>
              <w:rPr>
                <w:rFonts w:ascii="仿宋" w:hAnsi="仿宋" w:eastAsia="仿宋"/>
              </w:rPr>
              <w:t>分</w:t>
            </w:r>
          </w:p>
        </w:tc>
      </w:tr>
      <w:tr w14:paraId="1EF4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7FFAD0AF">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电动车</w:t>
            </w:r>
            <w:r>
              <w:rPr>
                <w:rFonts w:ascii="仿宋" w:hAnsi="仿宋" w:eastAsia="仿宋"/>
              </w:rPr>
              <w:t>是否按指定位置摆放整齐</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F924AE">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42F0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3D5321C0">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外围是否有果皮纸屑</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DE13285">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16BD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7B27ED62">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楼道、楼梯是否整洁明亮、是否有浮灰、蜘蛛网</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67A0FDA">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660D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12865B0A">
            <w:pPr>
              <w:keepNext w:val="0"/>
              <w:keepLines w:val="0"/>
              <w:pageBreakBefore w:val="0"/>
              <w:widowControl w:val="0"/>
              <w:kinsoku/>
              <w:wordWrap w:val="0"/>
              <w:overflowPunct/>
              <w:topLinePunct w:val="0"/>
              <w:autoSpaceDE/>
              <w:autoSpaceDN/>
              <w:bidi w:val="0"/>
              <w:adjustRightInd/>
              <w:snapToGrid/>
              <w:spacing w:line="240" w:lineRule="exact"/>
              <w:textAlignment w:val="auto"/>
              <w:rPr>
                <w:rFonts w:hint="eastAsia" w:ascii="仿宋" w:hAnsi="仿宋" w:eastAsia="仿宋"/>
                <w:lang w:val="en-US" w:eastAsia="zh-CN"/>
              </w:rPr>
            </w:pPr>
            <w:r>
              <w:rPr>
                <w:rFonts w:ascii="仿宋" w:hAnsi="仿宋" w:eastAsia="仿宋"/>
              </w:rPr>
              <w:t>卫生间有无异味</w:t>
            </w:r>
            <w:r>
              <w:rPr>
                <w:rFonts w:hint="eastAsia" w:ascii="仿宋" w:hAnsi="仿宋" w:eastAsia="仿宋"/>
              </w:rPr>
              <w:t>、有</w:t>
            </w:r>
            <w:r>
              <w:rPr>
                <w:rFonts w:ascii="仿宋" w:hAnsi="仿宋" w:eastAsia="仿宋"/>
              </w:rPr>
              <w:t>无黄</w:t>
            </w:r>
            <w:r>
              <w:rPr>
                <w:rFonts w:hint="eastAsia" w:ascii="仿宋" w:hAnsi="仿宋" w:eastAsia="仿宋"/>
                <w:lang w:val="en-US" w:eastAsia="zh-CN"/>
              </w:rPr>
              <w:t>渍</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20CA2DC">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5F1F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2CF30D05">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楼道、卫生间垃圾是否及时清运</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75B2D80">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4E8E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1732D92F">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值班员是否在岗，是否佩戴工作证</w:t>
            </w:r>
            <w:r>
              <w:rPr>
                <w:rFonts w:hint="eastAsia" w:ascii="仿宋" w:hAnsi="仿宋" w:eastAsia="仿宋"/>
              </w:rPr>
              <w:t>，</w:t>
            </w:r>
            <w:r>
              <w:rPr>
                <w:rFonts w:ascii="仿宋" w:hAnsi="仿宋" w:eastAsia="仿宋"/>
              </w:rPr>
              <w:t>文件记录是否完整，着装是否整齐</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6E08092">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7FFB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2D885B34">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道路、广场是否有积水、纸屑、杂物、杂草、垃圾和枯枝落叶</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788ECB3">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1分</w:t>
            </w:r>
          </w:p>
        </w:tc>
      </w:tr>
      <w:tr w14:paraId="7428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69116B16">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校园灯杆、树木、墙面有无乱贴、乱画、乱挂</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91A5A7">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1分</w:t>
            </w:r>
          </w:p>
        </w:tc>
      </w:tr>
      <w:tr w14:paraId="4354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2777A261">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垃圾池、垃圾桶是否及时清理，外观是否整洁</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CE6C82A">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1分</w:t>
            </w:r>
          </w:p>
        </w:tc>
      </w:tr>
      <w:tr w14:paraId="7DD4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34CF7456">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 xml:space="preserve">废弃物是否及时清理，雨雪天气道路是否及时铲雪 </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C38FCC1">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1分</w:t>
            </w:r>
          </w:p>
        </w:tc>
      </w:tr>
      <w:tr w14:paraId="58A1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60630ED3">
            <w:pPr>
              <w:keepNext w:val="0"/>
              <w:keepLines w:val="0"/>
              <w:pageBreakBefore w:val="0"/>
              <w:widowControl w:val="0"/>
              <w:kinsoku/>
              <w:wordWrap w:val="0"/>
              <w:overflowPunct/>
              <w:topLinePunct w:val="0"/>
              <w:autoSpaceDE/>
              <w:autoSpaceDN/>
              <w:bidi w:val="0"/>
              <w:adjustRightInd/>
              <w:snapToGrid/>
              <w:spacing w:line="240" w:lineRule="exact"/>
              <w:textAlignment w:val="auto"/>
              <w:rPr>
                <w:rFonts w:hint="default" w:ascii="仿宋" w:hAnsi="仿宋" w:eastAsia="仿宋"/>
                <w:lang w:val="en-US" w:eastAsia="zh-CN"/>
              </w:rPr>
            </w:pPr>
            <w:r>
              <w:rPr>
                <w:rFonts w:ascii="仿宋" w:hAnsi="仿宋" w:eastAsia="仿宋"/>
              </w:rPr>
              <w:t>报修单是否及时报送</w:t>
            </w:r>
            <w:r>
              <w:rPr>
                <w:rFonts w:hint="eastAsia" w:ascii="仿宋" w:hAnsi="仿宋" w:eastAsia="仿宋"/>
                <w:lang w:eastAsia="zh-CN"/>
              </w:rPr>
              <w:t>，</w:t>
            </w:r>
            <w:r>
              <w:rPr>
                <w:rFonts w:hint="eastAsia" w:ascii="仿宋" w:hAnsi="仿宋" w:eastAsia="仿宋"/>
                <w:lang w:val="en-US" w:eastAsia="zh-CN"/>
              </w:rPr>
              <w:t>维修是否及时</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ACFC426">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0FF5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0D3AC6A9">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水龙头、冲水阀有无长流水现象</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7A2992">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11BF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105199D3">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有无长明灯现象，灯泡有无破损</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870AAD1">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7EFB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228FAC8F">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水房、卫生间有无堵塞，过道、卫生间天花板是否有破损</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28DE4A9">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未达到要求，发现一项扣</w:t>
            </w:r>
            <w:r>
              <w:rPr>
                <w:rFonts w:ascii="仿宋" w:hAnsi="仿宋" w:eastAsia="仿宋"/>
              </w:rPr>
              <w:t>0.5分</w:t>
            </w:r>
          </w:p>
        </w:tc>
      </w:tr>
      <w:tr w14:paraId="3C24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62E61BF2">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各楼宇内强弱电房、楼梯</w:t>
            </w:r>
            <w:r>
              <w:rPr>
                <w:rFonts w:hint="eastAsia" w:ascii="仿宋" w:hAnsi="仿宋" w:eastAsia="仿宋"/>
                <w:lang w:val="en-US" w:eastAsia="zh-CN"/>
              </w:rPr>
              <w:t>间</w:t>
            </w:r>
            <w:r>
              <w:rPr>
                <w:rFonts w:ascii="仿宋" w:hAnsi="仿宋" w:eastAsia="仿宋"/>
              </w:rPr>
              <w:t>有无存放杂物</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EFC387D">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2分</w:t>
            </w:r>
          </w:p>
        </w:tc>
      </w:tr>
      <w:tr w14:paraId="0467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61578CD9">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其他公共设施是否损坏、外墙幕墙玻璃是否完好</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AE19071">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未达到要求，发现一项扣</w:t>
            </w:r>
            <w:r>
              <w:rPr>
                <w:rFonts w:ascii="仿宋" w:hAnsi="仿宋" w:eastAsia="仿宋"/>
              </w:rPr>
              <w:t>0.5分</w:t>
            </w:r>
          </w:p>
        </w:tc>
      </w:tr>
      <w:tr w14:paraId="1268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750F534F">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抽查、巡查</w:t>
            </w:r>
            <w:r>
              <w:rPr>
                <w:rFonts w:hint="eastAsia" w:ascii="仿宋" w:hAnsi="仿宋" w:eastAsia="仿宋"/>
              </w:rPr>
              <w:t>物业企业</w:t>
            </w:r>
            <w:r>
              <w:rPr>
                <w:rFonts w:ascii="仿宋" w:hAnsi="仿宋" w:eastAsia="仿宋"/>
              </w:rPr>
              <w:t>人员在岗情况</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95D26">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缺岗一人次</w:t>
            </w:r>
            <w:r>
              <w:rPr>
                <w:rFonts w:hint="eastAsia" w:ascii="仿宋" w:hAnsi="仿宋" w:eastAsia="仿宋"/>
                <w:lang w:val="en-US" w:eastAsia="zh-CN"/>
              </w:rPr>
              <w:t>扣</w:t>
            </w:r>
            <w:r>
              <w:rPr>
                <w:rFonts w:hint="eastAsia" w:ascii="仿宋" w:hAnsi="仿宋" w:eastAsia="仿宋"/>
              </w:rPr>
              <w:t>2分</w:t>
            </w:r>
          </w:p>
        </w:tc>
      </w:tr>
      <w:tr w14:paraId="2787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6E0EE6C4">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物业企业</w:t>
            </w:r>
            <w:r>
              <w:rPr>
                <w:rFonts w:ascii="仿宋" w:hAnsi="仿宋" w:eastAsia="仿宋"/>
              </w:rPr>
              <w:t>每月报送人员花名册</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98378F">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缺岗一人次</w:t>
            </w:r>
            <w:r>
              <w:rPr>
                <w:rFonts w:hint="eastAsia" w:ascii="仿宋" w:hAnsi="仿宋" w:eastAsia="仿宋"/>
                <w:lang w:val="en-US" w:eastAsia="zh-CN"/>
              </w:rPr>
              <w:t>扣</w:t>
            </w:r>
            <w:r>
              <w:rPr>
                <w:rFonts w:hint="eastAsia" w:ascii="仿宋" w:hAnsi="仿宋" w:eastAsia="仿宋"/>
              </w:rPr>
              <w:t>2分</w:t>
            </w:r>
          </w:p>
        </w:tc>
      </w:tr>
    </w:tbl>
    <w:p w14:paraId="6C00BFD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FF0000"/>
          <w:sz w:val="28"/>
          <w:szCs w:val="28"/>
          <w:lang w:eastAsia="zh-CN"/>
        </w:rPr>
      </w:pPr>
    </w:p>
    <w:p w14:paraId="571AB9B1">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bCs/>
          <w:sz w:val="28"/>
          <w:szCs w:val="28"/>
        </w:rPr>
      </w:pPr>
    </w:p>
    <w:p w14:paraId="35CC43CA">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bCs/>
          <w:sz w:val="28"/>
          <w:szCs w:val="28"/>
        </w:rPr>
      </w:pPr>
    </w:p>
    <w:p w14:paraId="6096A699">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rPr>
        <w:t>六、</w:t>
      </w:r>
      <w:r>
        <w:rPr>
          <w:rFonts w:hint="eastAsia" w:ascii="仿宋" w:hAnsi="仿宋" w:eastAsia="仿宋" w:cs="仿宋"/>
          <w:b/>
          <w:bCs/>
          <w:sz w:val="28"/>
          <w:szCs w:val="28"/>
          <w:lang w:val="en-US" w:eastAsia="zh-CN"/>
        </w:rPr>
        <w:t>合同模板</w:t>
      </w:r>
    </w:p>
    <w:p w14:paraId="5ACFA3E4">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p>
    <w:p w14:paraId="58FD1EFD">
      <w:pPr>
        <w:jc w:val="center"/>
        <w:rPr>
          <w:rFonts w:ascii="仿宋" w:hAnsi="仿宋" w:eastAsia="仿宋"/>
          <w:b/>
          <w:color w:val="auto"/>
          <w:sz w:val="44"/>
          <w:szCs w:val="44"/>
        </w:rPr>
      </w:pPr>
      <w:r>
        <w:rPr>
          <w:rFonts w:hint="eastAsia" w:ascii="仿宋" w:hAnsi="仿宋" w:eastAsia="仿宋"/>
          <w:b/>
          <w:color w:val="auto"/>
          <w:sz w:val="44"/>
          <w:szCs w:val="44"/>
        </w:rPr>
        <w:t>皖西学院</w:t>
      </w:r>
      <w:r>
        <w:rPr>
          <w:rFonts w:hint="eastAsia" w:ascii="仿宋" w:hAnsi="仿宋" w:eastAsia="仿宋"/>
          <w:b/>
          <w:bCs w:val="0"/>
          <w:color w:val="000000" w:themeColor="text1"/>
          <w:sz w:val="44"/>
          <w:szCs w:val="44"/>
          <w:lang w:val="en-US" w:eastAsia="zh-CN"/>
          <w14:textFill>
            <w14:solidFill>
              <w14:schemeClr w14:val="tx1"/>
            </w14:solidFill>
          </w14:textFill>
        </w:rPr>
        <w:t>科技楼及周边区域</w:t>
      </w:r>
      <w:r>
        <w:rPr>
          <w:rFonts w:hint="eastAsia" w:ascii="仿宋" w:hAnsi="仿宋" w:eastAsia="仿宋"/>
          <w:b/>
          <w:color w:val="auto"/>
          <w:sz w:val="44"/>
          <w:szCs w:val="44"/>
        </w:rPr>
        <w:t>物业管理服务</w:t>
      </w:r>
      <w:r>
        <w:rPr>
          <w:rFonts w:hint="eastAsia" w:ascii="仿宋" w:hAnsi="仿宋" w:eastAsia="仿宋"/>
          <w:b/>
          <w:color w:val="auto"/>
          <w:sz w:val="44"/>
          <w:szCs w:val="44"/>
          <w:lang w:val="en-US" w:eastAsia="zh-CN"/>
        </w:rPr>
        <w:t>项目</w:t>
      </w:r>
      <w:r>
        <w:rPr>
          <w:rFonts w:hint="eastAsia" w:ascii="仿宋" w:hAnsi="仿宋" w:eastAsia="仿宋"/>
          <w:b/>
          <w:color w:val="auto"/>
          <w:sz w:val="44"/>
          <w:szCs w:val="44"/>
        </w:rPr>
        <w:t>采购合同</w:t>
      </w:r>
    </w:p>
    <w:p w14:paraId="6B51E185">
      <w:pPr>
        <w:jc w:val="center"/>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auto"/>
          <w:sz w:val="28"/>
          <w:szCs w:val="28"/>
        </w:rPr>
        <w:t xml:space="preserve">项目编号： </w:t>
      </w:r>
      <w:r>
        <w:rPr>
          <w:rFonts w:hint="eastAsia" w:ascii="仿宋" w:hAnsi="仿宋" w:eastAsia="仿宋"/>
          <w:color w:val="000000" w:themeColor="text1"/>
          <w:sz w:val="28"/>
          <w:szCs w:val="28"/>
          <w:u w:val="single"/>
          <w:lang w:val="en-US" w:eastAsia="zh-CN"/>
          <w14:textFill>
            <w14:solidFill>
              <w14:schemeClr w14:val="tx1"/>
            </w14:solidFill>
          </w14:textFill>
        </w:rPr>
        <w:t>WXXYCG-2024001</w:t>
      </w:r>
    </w:p>
    <w:tbl>
      <w:tblPr>
        <w:tblStyle w:val="13"/>
        <w:tblW w:w="0" w:type="auto"/>
        <w:jc w:val="center"/>
        <w:tblLayout w:type="fixed"/>
        <w:tblCellMar>
          <w:top w:w="0" w:type="dxa"/>
          <w:left w:w="108" w:type="dxa"/>
          <w:bottom w:w="0" w:type="dxa"/>
          <w:right w:w="108" w:type="dxa"/>
        </w:tblCellMar>
      </w:tblPr>
      <w:tblGrid>
        <w:gridCol w:w="1933"/>
        <w:gridCol w:w="2760"/>
        <w:gridCol w:w="1275"/>
        <w:gridCol w:w="1905"/>
      </w:tblGrid>
      <w:tr w14:paraId="6006B70B">
        <w:tblPrEx>
          <w:tblCellMar>
            <w:top w:w="0" w:type="dxa"/>
            <w:left w:w="108" w:type="dxa"/>
            <w:bottom w:w="0" w:type="dxa"/>
            <w:right w:w="108" w:type="dxa"/>
          </w:tblCellMar>
        </w:tblPrEx>
        <w:trPr>
          <w:jc w:val="center"/>
        </w:trPr>
        <w:tc>
          <w:tcPr>
            <w:tcW w:w="1933" w:type="dxa"/>
            <w:noWrap w:val="0"/>
            <w:vAlign w:val="top"/>
          </w:tcPr>
          <w:p w14:paraId="71A4025A">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olor w:val="auto"/>
                <w:sz w:val="24"/>
                <w:szCs w:val="24"/>
              </w:rPr>
              <w:t>委托</w:t>
            </w:r>
            <w:r>
              <w:rPr>
                <w:rFonts w:hint="eastAsia" w:ascii="仿宋" w:hAnsi="仿宋" w:eastAsia="仿宋" w:cs="仿宋"/>
                <w:color w:val="auto"/>
                <w:sz w:val="24"/>
                <w:szCs w:val="24"/>
              </w:rPr>
              <w:t>方)：</w:t>
            </w:r>
          </w:p>
        </w:tc>
        <w:tc>
          <w:tcPr>
            <w:tcW w:w="2760" w:type="dxa"/>
            <w:noWrap w:val="0"/>
            <w:vAlign w:val="top"/>
          </w:tcPr>
          <w:p w14:paraId="2A563803">
            <w:pPr>
              <w:spacing w:line="360" w:lineRule="exact"/>
              <w:ind w:left="-107" w:leftChars="-51"/>
              <w:rPr>
                <w:rFonts w:hint="eastAsia" w:ascii="仿宋" w:hAnsi="仿宋" w:eastAsia="仿宋" w:cs="仿宋"/>
                <w:color w:val="auto"/>
                <w:sz w:val="24"/>
                <w:szCs w:val="24"/>
              </w:rPr>
            </w:pPr>
            <w:r>
              <w:rPr>
                <w:rFonts w:hint="eastAsia" w:ascii="仿宋" w:hAnsi="仿宋" w:eastAsia="仿宋" w:cs="仿宋"/>
                <w:color w:val="auto"/>
                <w:sz w:val="24"/>
                <w:szCs w:val="24"/>
                <w:u w:val="single"/>
              </w:rPr>
              <w:t>皖   西  学  院</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tc>
        <w:tc>
          <w:tcPr>
            <w:tcW w:w="1275" w:type="dxa"/>
            <w:noWrap w:val="0"/>
            <w:vAlign w:val="top"/>
          </w:tcPr>
          <w:p w14:paraId="0A99107C">
            <w:pPr>
              <w:spacing w:line="360" w:lineRule="exact"/>
              <w:ind w:left="-107" w:leftChars="-51"/>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1905" w:type="dxa"/>
            <w:noWrap w:val="0"/>
            <w:vAlign w:val="top"/>
          </w:tcPr>
          <w:p w14:paraId="3CACDD4A">
            <w:pPr>
              <w:spacing w:line="360" w:lineRule="exact"/>
              <w:ind w:left="-107" w:leftChars="-5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u w:val="single"/>
                <w:lang w:val="en-US" w:eastAsia="zh-CN"/>
              </w:rPr>
              <w:t xml:space="preserve">              </w:t>
            </w:r>
          </w:p>
        </w:tc>
      </w:tr>
      <w:tr w14:paraId="1BFE27D3">
        <w:tblPrEx>
          <w:tblCellMar>
            <w:top w:w="0" w:type="dxa"/>
            <w:left w:w="108" w:type="dxa"/>
            <w:bottom w:w="0" w:type="dxa"/>
            <w:right w:w="108" w:type="dxa"/>
          </w:tblCellMar>
        </w:tblPrEx>
        <w:trPr>
          <w:jc w:val="center"/>
        </w:trPr>
        <w:tc>
          <w:tcPr>
            <w:tcW w:w="1933" w:type="dxa"/>
            <w:noWrap w:val="0"/>
            <w:vAlign w:val="top"/>
          </w:tcPr>
          <w:p w14:paraId="1F8CE385">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w:t>
            </w:r>
            <w:r>
              <w:rPr>
                <w:rFonts w:hint="eastAsia" w:ascii="仿宋" w:hAnsi="仿宋" w:eastAsia="仿宋"/>
                <w:color w:val="auto"/>
                <w:sz w:val="24"/>
                <w:szCs w:val="24"/>
              </w:rPr>
              <w:t>受托</w:t>
            </w:r>
            <w:r>
              <w:rPr>
                <w:rFonts w:hint="eastAsia" w:ascii="仿宋" w:hAnsi="仿宋" w:eastAsia="仿宋" w:cs="仿宋"/>
                <w:color w:val="auto"/>
                <w:sz w:val="24"/>
                <w:szCs w:val="24"/>
              </w:rPr>
              <w:t>方)：</w:t>
            </w:r>
          </w:p>
        </w:tc>
        <w:tc>
          <w:tcPr>
            <w:tcW w:w="2760" w:type="dxa"/>
            <w:noWrap w:val="0"/>
            <w:vAlign w:val="top"/>
          </w:tcPr>
          <w:p w14:paraId="4761B977">
            <w:pPr>
              <w:spacing w:line="360" w:lineRule="exact"/>
              <w:ind w:left="-107" w:leftChars="-51"/>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tc>
        <w:tc>
          <w:tcPr>
            <w:tcW w:w="1275" w:type="dxa"/>
            <w:noWrap w:val="0"/>
            <w:vAlign w:val="top"/>
          </w:tcPr>
          <w:p w14:paraId="69F806DC">
            <w:pPr>
              <w:spacing w:line="360" w:lineRule="exact"/>
              <w:ind w:left="-107" w:leftChars="-51"/>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1905" w:type="dxa"/>
            <w:noWrap w:val="0"/>
            <w:vAlign w:val="top"/>
          </w:tcPr>
          <w:p w14:paraId="300B2A1F">
            <w:pPr>
              <w:spacing w:line="360" w:lineRule="exact"/>
              <w:ind w:left="-107" w:leftChars="-51"/>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tc>
      </w:tr>
      <w:tr w14:paraId="79AAFF56">
        <w:tblPrEx>
          <w:tblCellMar>
            <w:top w:w="0" w:type="dxa"/>
            <w:left w:w="108" w:type="dxa"/>
            <w:bottom w:w="0" w:type="dxa"/>
            <w:right w:w="108" w:type="dxa"/>
          </w:tblCellMar>
        </w:tblPrEx>
        <w:trPr>
          <w:jc w:val="center"/>
        </w:trPr>
        <w:tc>
          <w:tcPr>
            <w:tcW w:w="1933" w:type="dxa"/>
            <w:noWrap w:val="0"/>
            <w:vAlign w:val="top"/>
          </w:tcPr>
          <w:p w14:paraId="70521C64">
            <w:pPr>
              <w:spacing w:line="360" w:lineRule="exact"/>
              <w:rPr>
                <w:rFonts w:hint="eastAsia" w:ascii="仿宋" w:hAnsi="仿宋" w:eastAsia="仿宋" w:cs="仿宋"/>
                <w:color w:val="auto"/>
                <w:sz w:val="24"/>
                <w:szCs w:val="24"/>
              </w:rPr>
            </w:pPr>
          </w:p>
        </w:tc>
        <w:tc>
          <w:tcPr>
            <w:tcW w:w="2760" w:type="dxa"/>
            <w:noWrap w:val="0"/>
            <w:vAlign w:val="top"/>
          </w:tcPr>
          <w:p w14:paraId="1C890730">
            <w:pPr>
              <w:spacing w:line="360" w:lineRule="exact"/>
              <w:ind w:left="-107" w:leftChars="-51"/>
              <w:rPr>
                <w:rFonts w:hint="eastAsia" w:ascii="仿宋" w:hAnsi="仿宋" w:eastAsia="仿宋" w:cs="仿宋"/>
                <w:color w:val="auto"/>
                <w:sz w:val="24"/>
                <w:szCs w:val="24"/>
                <w:lang w:val="en-US" w:eastAsia="zh-CN"/>
              </w:rPr>
            </w:pPr>
          </w:p>
        </w:tc>
        <w:tc>
          <w:tcPr>
            <w:tcW w:w="1275" w:type="dxa"/>
            <w:noWrap w:val="0"/>
            <w:vAlign w:val="top"/>
          </w:tcPr>
          <w:p w14:paraId="358535BF">
            <w:pPr>
              <w:spacing w:line="360" w:lineRule="exact"/>
              <w:ind w:left="-107" w:leftChars="-51"/>
              <w:rPr>
                <w:rFonts w:hint="eastAsia" w:ascii="仿宋" w:hAnsi="仿宋" w:eastAsia="仿宋" w:cs="仿宋"/>
                <w:color w:val="auto"/>
                <w:sz w:val="24"/>
                <w:szCs w:val="24"/>
              </w:rPr>
            </w:pPr>
            <w:r>
              <w:rPr>
                <w:rFonts w:hint="eastAsia" w:ascii="仿宋" w:hAnsi="仿宋" w:eastAsia="仿宋" w:cs="仿宋"/>
                <w:color w:val="auto"/>
                <w:sz w:val="24"/>
                <w:szCs w:val="24"/>
              </w:rPr>
              <w:t>签订地点：</w:t>
            </w:r>
          </w:p>
        </w:tc>
        <w:tc>
          <w:tcPr>
            <w:tcW w:w="1905" w:type="dxa"/>
            <w:noWrap w:val="0"/>
            <w:vAlign w:val="top"/>
          </w:tcPr>
          <w:p w14:paraId="316DD7D7">
            <w:pPr>
              <w:spacing w:line="360" w:lineRule="exact"/>
              <w:ind w:left="-106" w:leftChars="-51" w:hanging="1"/>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六  安  市</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tc>
      </w:tr>
    </w:tbl>
    <w:p w14:paraId="1B93B6F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甲乙双方根据《中华人民共和国民法典》、《安徽省物业管理条例》等法律法规的规定，经友好协商，同意按下述条款和条件签订本物业服务采购合同（以下简称“合同”）。</w:t>
      </w:r>
    </w:p>
    <w:p w14:paraId="4DDE62A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一、合同文件的组成</w:t>
      </w:r>
    </w:p>
    <w:p w14:paraId="027F172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1、合同文本及补充协议</w:t>
      </w:r>
    </w:p>
    <w:p w14:paraId="54993C9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2、</w:t>
      </w:r>
      <w:r>
        <w:rPr>
          <w:rFonts w:hint="eastAsia" w:ascii="仿宋" w:hAnsi="仿宋" w:eastAsia="仿宋"/>
          <w:color w:val="000000" w:themeColor="text1"/>
          <w:sz w:val="28"/>
          <w:szCs w:val="28"/>
          <w:lang w:val="en-US" w:eastAsia="zh-CN"/>
          <w14:textFill>
            <w14:solidFill>
              <w14:schemeClr w14:val="tx1"/>
            </w14:solidFill>
          </w14:textFill>
        </w:rPr>
        <w:t>报价</w:t>
      </w:r>
      <w:r>
        <w:rPr>
          <w:rFonts w:hint="eastAsia" w:ascii="仿宋" w:hAnsi="仿宋" w:eastAsia="仿宋"/>
          <w:color w:val="auto"/>
          <w:sz w:val="28"/>
          <w:szCs w:val="28"/>
        </w:rPr>
        <w:t>文件</w:t>
      </w:r>
    </w:p>
    <w:p w14:paraId="732BA2B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3、</w:t>
      </w:r>
      <w:r>
        <w:rPr>
          <w:rFonts w:hint="eastAsia" w:ascii="仿宋" w:hAnsi="仿宋" w:eastAsia="仿宋"/>
          <w:color w:val="auto"/>
          <w:sz w:val="28"/>
          <w:szCs w:val="28"/>
          <w:lang w:val="en-US" w:eastAsia="zh-CN"/>
        </w:rPr>
        <w:t>比选文件</w:t>
      </w:r>
    </w:p>
    <w:p w14:paraId="3272777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二、合同范围和条件</w:t>
      </w:r>
    </w:p>
    <w:p w14:paraId="741AB8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本合同的范围和条件应与上述合同文件的规定相一致。</w:t>
      </w:r>
    </w:p>
    <w:p w14:paraId="09D6621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三、服务范围及质量标准</w:t>
      </w:r>
    </w:p>
    <w:p w14:paraId="271B61A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1、服务范围：</w:t>
      </w:r>
      <w:r>
        <w:rPr>
          <w:rFonts w:hint="eastAsia" w:ascii="仿宋" w:hAnsi="仿宋" w:eastAsia="仿宋" w:cs="Times New Roman"/>
          <w:color w:val="auto"/>
          <w:sz w:val="28"/>
          <w:szCs w:val="28"/>
        </w:rPr>
        <w:t>笃行大道、博学大道交口东北区域扩建区范围（</w:t>
      </w:r>
      <w:r>
        <w:rPr>
          <w:rFonts w:hint="eastAsia" w:ascii="仿宋" w:hAnsi="仿宋" w:eastAsia="仿宋" w:cs="Times New Roman"/>
          <w:color w:val="auto"/>
          <w:sz w:val="28"/>
          <w:szCs w:val="28"/>
          <w:lang w:eastAsia="zh-CN"/>
        </w:rPr>
        <w:t>含博学大道</w:t>
      </w:r>
      <w:r>
        <w:rPr>
          <w:rFonts w:hint="eastAsia" w:ascii="仿宋" w:hAnsi="仿宋" w:eastAsia="仿宋"/>
          <w:color w:val="auto"/>
          <w:sz w:val="28"/>
          <w:szCs w:val="28"/>
          <w:lang w:eastAsia="zh-CN"/>
        </w:rPr>
        <w:t>延伸段</w:t>
      </w:r>
      <w:r>
        <w:rPr>
          <w:rFonts w:hint="eastAsia" w:ascii="仿宋" w:hAnsi="仿宋" w:eastAsia="仿宋"/>
          <w:color w:val="auto"/>
          <w:sz w:val="28"/>
          <w:szCs w:val="28"/>
        </w:rPr>
        <w:t>），详见</w:t>
      </w:r>
      <w:r>
        <w:rPr>
          <w:rFonts w:hint="eastAsia" w:ascii="仿宋" w:hAnsi="仿宋" w:eastAsia="仿宋"/>
          <w:color w:val="000000" w:themeColor="text1"/>
          <w:sz w:val="28"/>
          <w:szCs w:val="28"/>
          <w:lang w:val="en-US" w:eastAsia="zh-CN"/>
          <w14:textFill>
            <w14:solidFill>
              <w14:schemeClr w14:val="tx1"/>
            </w14:solidFill>
          </w14:textFill>
        </w:rPr>
        <w:t>比选</w:t>
      </w:r>
      <w:r>
        <w:rPr>
          <w:rFonts w:hint="eastAsia" w:ascii="仿宋" w:hAnsi="仿宋" w:eastAsia="仿宋"/>
          <w:color w:val="auto"/>
          <w:sz w:val="28"/>
          <w:szCs w:val="28"/>
        </w:rPr>
        <w:t>文件和乙方提供的</w:t>
      </w:r>
      <w:r>
        <w:rPr>
          <w:rFonts w:hint="eastAsia" w:ascii="仿宋" w:hAnsi="仿宋" w:eastAsia="仿宋"/>
          <w:color w:val="000000" w:themeColor="text1"/>
          <w:sz w:val="28"/>
          <w:szCs w:val="28"/>
          <w:lang w:val="en-US" w:eastAsia="zh-CN"/>
          <w14:textFill>
            <w14:solidFill>
              <w14:schemeClr w14:val="tx1"/>
            </w14:solidFill>
          </w14:textFill>
        </w:rPr>
        <w:t>报价</w:t>
      </w:r>
      <w:r>
        <w:rPr>
          <w:rFonts w:hint="eastAsia" w:ascii="仿宋" w:hAnsi="仿宋" w:eastAsia="仿宋"/>
          <w:color w:val="auto"/>
          <w:sz w:val="28"/>
          <w:szCs w:val="28"/>
        </w:rPr>
        <w:t>文件。</w:t>
      </w:r>
    </w:p>
    <w:p w14:paraId="1189CD1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w:t>
      </w:r>
      <w:r>
        <w:rPr>
          <w:rFonts w:hint="eastAsia" w:ascii="仿宋" w:hAnsi="仿宋" w:eastAsia="仿宋"/>
          <w:color w:val="auto"/>
          <w:sz w:val="28"/>
          <w:szCs w:val="28"/>
          <w:lang w:val="en-US" w:eastAsia="zh-CN"/>
        </w:rPr>
        <w:t>服务内容</w:t>
      </w:r>
      <w:r>
        <w:rPr>
          <w:rFonts w:hint="eastAsia" w:ascii="仿宋" w:hAnsi="仿宋" w:eastAsia="仿宋"/>
          <w:color w:val="auto"/>
          <w:sz w:val="28"/>
          <w:szCs w:val="28"/>
        </w:rPr>
        <w:t>：详见</w:t>
      </w:r>
      <w:r>
        <w:rPr>
          <w:rFonts w:hint="eastAsia" w:ascii="仿宋" w:hAnsi="仿宋" w:eastAsia="仿宋"/>
          <w:color w:val="000000" w:themeColor="text1"/>
          <w:sz w:val="28"/>
          <w:szCs w:val="28"/>
          <w:lang w:val="en-US" w:eastAsia="zh-CN"/>
          <w14:textFill>
            <w14:solidFill>
              <w14:schemeClr w14:val="tx1"/>
            </w14:solidFill>
          </w14:textFill>
        </w:rPr>
        <w:t>比选</w:t>
      </w:r>
      <w:r>
        <w:rPr>
          <w:rFonts w:hint="eastAsia" w:ascii="仿宋" w:hAnsi="仿宋" w:eastAsia="仿宋"/>
          <w:color w:val="auto"/>
          <w:sz w:val="28"/>
          <w:szCs w:val="28"/>
        </w:rPr>
        <w:t>文件、《</w:t>
      </w:r>
      <w:r>
        <w:rPr>
          <w:rFonts w:hint="eastAsia" w:ascii="仿宋" w:hAnsi="仿宋" w:eastAsia="仿宋"/>
          <w:color w:val="auto"/>
          <w:sz w:val="28"/>
          <w:szCs w:val="28"/>
          <w:lang w:val="en-US" w:eastAsia="zh-CN"/>
        </w:rPr>
        <w:t>校园物业监督管理办法（试行）</w:t>
      </w:r>
      <w:r>
        <w:rPr>
          <w:rFonts w:hint="eastAsia" w:ascii="仿宋" w:hAnsi="仿宋" w:eastAsia="仿宋"/>
          <w:color w:val="auto"/>
          <w:sz w:val="28"/>
          <w:szCs w:val="28"/>
        </w:rPr>
        <w:t>》和乙方提供的</w:t>
      </w:r>
      <w:r>
        <w:rPr>
          <w:rFonts w:hint="eastAsia" w:ascii="仿宋" w:hAnsi="仿宋" w:eastAsia="仿宋"/>
          <w:color w:val="000000" w:themeColor="text1"/>
          <w:sz w:val="28"/>
          <w:szCs w:val="28"/>
          <w:lang w:val="en-US" w:eastAsia="zh-CN"/>
          <w14:textFill>
            <w14:solidFill>
              <w14:schemeClr w14:val="tx1"/>
            </w14:solidFill>
          </w14:textFill>
        </w:rPr>
        <w:t>报价</w:t>
      </w:r>
      <w:r>
        <w:rPr>
          <w:rFonts w:hint="eastAsia" w:ascii="仿宋" w:hAnsi="仿宋" w:eastAsia="仿宋"/>
          <w:color w:val="auto"/>
          <w:sz w:val="28"/>
          <w:szCs w:val="28"/>
        </w:rPr>
        <w:t>文件</w:t>
      </w:r>
      <w:r>
        <w:rPr>
          <w:rFonts w:hint="eastAsia" w:ascii="仿宋" w:hAnsi="仿宋" w:eastAsia="仿宋"/>
          <w:color w:val="auto"/>
          <w:sz w:val="28"/>
          <w:szCs w:val="28"/>
          <w:lang w:val="en-US" w:eastAsia="zh-CN"/>
        </w:rPr>
        <w:t>和本合同约定的乙方的义务</w:t>
      </w:r>
      <w:r>
        <w:rPr>
          <w:rFonts w:hint="eastAsia" w:ascii="仿宋" w:hAnsi="仿宋" w:eastAsia="仿宋"/>
          <w:color w:val="auto"/>
          <w:sz w:val="28"/>
          <w:szCs w:val="28"/>
        </w:rPr>
        <w:t>。</w:t>
      </w:r>
    </w:p>
    <w:p w14:paraId="353FA5A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FF0000"/>
          <w:sz w:val="28"/>
          <w:szCs w:val="28"/>
          <w:lang w:val="en-US" w:eastAsia="zh-CN"/>
        </w:rPr>
      </w:pPr>
      <w:r>
        <w:rPr>
          <w:rFonts w:hint="eastAsia" w:ascii="仿宋" w:hAnsi="仿宋" w:eastAsia="仿宋"/>
          <w:color w:val="auto"/>
          <w:sz w:val="28"/>
          <w:szCs w:val="28"/>
        </w:rPr>
        <w:t>3、</w:t>
      </w:r>
      <w:r>
        <w:rPr>
          <w:rFonts w:hint="eastAsia" w:ascii="仿宋" w:hAnsi="仿宋" w:eastAsia="仿宋"/>
          <w:color w:val="auto"/>
          <w:sz w:val="28"/>
          <w:szCs w:val="28"/>
          <w:lang w:val="en-US" w:eastAsia="zh-CN"/>
        </w:rPr>
        <w:t>验收</w:t>
      </w:r>
      <w:r>
        <w:rPr>
          <w:rFonts w:hint="eastAsia" w:ascii="仿宋" w:hAnsi="仿宋" w:eastAsia="仿宋"/>
          <w:color w:val="auto"/>
          <w:sz w:val="28"/>
          <w:szCs w:val="28"/>
        </w:rPr>
        <w:t>标准：详见</w:t>
      </w:r>
      <w:r>
        <w:rPr>
          <w:rFonts w:hint="eastAsia" w:ascii="仿宋" w:hAnsi="仿宋" w:eastAsia="仿宋"/>
          <w:color w:val="000000" w:themeColor="text1"/>
          <w:sz w:val="28"/>
          <w:szCs w:val="28"/>
          <w:lang w:val="en-US" w:eastAsia="zh-CN"/>
          <w14:textFill>
            <w14:solidFill>
              <w14:schemeClr w14:val="tx1"/>
            </w14:solidFill>
          </w14:textFill>
        </w:rPr>
        <w:t>比选文件</w:t>
      </w:r>
    </w:p>
    <w:p w14:paraId="3ED088D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rPr>
        <w:t xml:space="preserve">4、服务期限：进驻之日起—2025年 1 月 25日。 </w:t>
      </w:r>
    </w:p>
    <w:p w14:paraId="24CDE53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四、合同金额</w:t>
      </w:r>
    </w:p>
    <w:p w14:paraId="2634557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本合同的总金额</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元(人民币大写：</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w:t>
      </w:r>
    </w:p>
    <w:p w14:paraId="31DF584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五、付款条件</w:t>
      </w:r>
    </w:p>
    <w:p w14:paraId="55CDC09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Times New Roman"/>
          <w:color w:val="auto"/>
          <w:sz w:val="28"/>
          <w:szCs w:val="28"/>
        </w:rPr>
      </w:pPr>
      <w:r>
        <w:rPr>
          <w:rFonts w:ascii="仿宋" w:hAnsi="仿宋" w:eastAsia="仿宋" w:cs="Times New Roman"/>
          <w:color w:val="auto"/>
          <w:sz w:val="28"/>
          <w:szCs w:val="28"/>
        </w:rPr>
        <w:t>物业服务费以合同价</w:t>
      </w:r>
      <w:r>
        <w:rPr>
          <w:rFonts w:hint="eastAsia" w:ascii="仿宋" w:hAnsi="仿宋" w:eastAsia="仿宋" w:cs="Times New Roman"/>
          <w:color w:val="auto"/>
          <w:sz w:val="28"/>
          <w:szCs w:val="28"/>
        </w:rPr>
        <w:t>和实际安排人数</w:t>
      </w:r>
      <w:r>
        <w:rPr>
          <w:rFonts w:ascii="仿宋" w:hAnsi="仿宋" w:eastAsia="仿宋" w:cs="Times New Roman"/>
          <w:color w:val="auto"/>
          <w:sz w:val="28"/>
          <w:szCs w:val="28"/>
        </w:rPr>
        <w:t>为准</w:t>
      </w:r>
      <w:r>
        <w:rPr>
          <w:rFonts w:hint="eastAsia" w:ascii="仿宋" w:hAnsi="仿宋" w:eastAsia="仿宋" w:cs="仿宋"/>
          <w:color w:val="auto"/>
          <w:sz w:val="28"/>
          <w:szCs w:val="28"/>
          <w:lang w:val="en-US" w:eastAsia="zh-CN"/>
        </w:rPr>
        <w:t>（科技楼使用进度不一致，根据实际安排的具体人数核减当月服务费，每少一人扣减物业服务费3000元），服务期满经考核验收合格一次性结算，不足</w:t>
      </w:r>
      <w:r>
        <w:rPr>
          <w:rFonts w:hint="eastAsia" w:ascii="仿宋" w:hAnsi="仿宋" w:eastAsia="仿宋"/>
          <w:color w:val="auto"/>
          <w:sz w:val="28"/>
          <w:szCs w:val="28"/>
        </w:rPr>
        <w:t>整月（每月按30日计算）的按实际天数支付。</w:t>
      </w:r>
      <w:r>
        <w:rPr>
          <w:rFonts w:ascii="仿宋" w:hAnsi="仿宋" w:eastAsia="仿宋" w:cs="Times New Roman"/>
          <w:color w:val="auto"/>
          <w:sz w:val="28"/>
          <w:szCs w:val="28"/>
        </w:rPr>
        <w:t>乙方应该在</w:t>
      </w:r>
      <w:r>
        <w:rPr>
          <w:rFonts w:hint="eastAsia" w:ascii="仿宋" w:hAnsi="仿宋" w:eastAsia="仿宋" w:cs="Times New Roman"/>
          <w:color w:val="auto"/>
          <w:sz w:val="28"/>
          <w:szCs w:val="28"/>
          <w:lang w:val="en-US" w:eastAsia="zh-CN"/>
        </w:rPr>
        <w:t>考核</w:t>
      </w:r>
      <w:r>
        <w:rPr>
          <w:rFonts w:ascii="仿宋" w:hAnsi="仿宋" w:eastAsia="仿宋" w:cs="Times New Roman"/>
          <w:color w:val="auto"/>
          <w:sz w:val="28"/>
          <w:szCs w:val="28"/>
        </w:rPr>
        <w:t>验收合格之日起30个工作日内提供合同、验收报告、发票原件等材料，经甲方财务部门审核后支付。</w:t>
      </w:r>
    </w:p>
    <w:p w14:paraId="3A3E6B9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六、项目交付时间</w:t>
      </w:r>
    </w:p>
    <w:p w14:paraId="39892F4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本合同项目的交付时间为合同签订生效时间。</w:t>
      </w:r>
    </w:p>
    <w:p w14:paraId="26F26E7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七、甲方权利与义务</w:t>
      </w:r>
    </w:p>
    <w:p w14:paraId="01FCDA8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1、监督检查乙方服务工作的实施及制度的执行情况，有权根据合同文件规定对乙方不达标的服务内容提出限期整改要求或要求乙方承担违约责任。</w:t>
      </w:r>
    </w:p>
    <w:p w14:paraId="13CFE2F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2、因乙方原因，给甲方造成重大经济损失、重大管理失误和师生普遍反映服务较差，甲方有权终止合同并要求乙方赔偿相关损失。</w:t>
      </w:r>
    </w:p>
    <w:p w14:paraId="791824C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3、根据本合同的具体情况和乙方工作的实际需要，甲方向乙方免费提供必要的办公用房，所产生的其他费用由乙方承担。甲方因工作需要或因乙方不服从管理，甲方有权收回办公用房，乙方接到甲方通知 15 个工作日内，应无条件搬离，产生费用由乙方承担。</w:t>
      </w:r>
    </w:p>
    <w:p w14:paraId="503E16A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4、协助、指导乙方做好物业管理与服务工作和宣传教育、文化活动。</w:t>
      </w:r>
    </w:p>
    <w:p w14:paraId="66088BC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5、向乙方提供涉及物业管理服务必需的相关图纸、档案、资料。</w:t>
      </w:r>
    </w:p>
    <w:p w14:paraId="3F77B17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6、甲方委托乙方管理的物业硬件设施应符合相关的质量标准，不存在安全隐患。</w:t>
      </w:r>
    </w:p>
    <w:p w14:paraId="30CE5E5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7、甲方有权根据工作需要，要求乙方为完成工作任务而增加工作量或工作人员，乙方不得因此要求增加费用。</w:t>
      </w:r>
    </w:p>
    <w:p w14:paraId="05BC77E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8、未经甲方书面同意，乙方不得在本合同约定的服务范围内向服务对象收取任何费用。否则，除要求乙方全额清退外，甲方有权追究乙方责任。</w:t>
      </w:r>
    </w:p>
    <w:p w14:paraId="1F5C11F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八、乙方权利与义务</w:t>
      </w:r>
    </w:p>
    <w:p w14:paraId="60144AB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1、乙方须按时、按质、按量完成合同文件规定物业管理与服务内容，达到规定标准。</w:t>
      </w:r>
    </w:p>
    <w:p w14:paraId="46F45AF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2、乙方工作时，不得影响甲方正常的教学、工作和生活秩序。</w:t>
      </w:r>
    </w:p>
    <w:p w14:paraId="5D30C9E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3、甲方上级或兄弟单位来校检查、视察、参观，以及甲方开展重大活动或有其他突击性任务时，乙方应当无附加条件地按照甲方的要求和安排，完成物业管理与服务任务。</w:t>
      </w:r>
    </w:p>
    <w:p w14:paraId="5C738C8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4、乙方应爱护甲方的各种公用设施设备。若因乙方原因造成甲方设施设备丢失或损坏，乙方须赔偿损失或及时予以修复。</w:t>
      </w:r>
    </w:p>
    <w:p w14:paraId="417ED59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5、乙方根据相关法律法规和学校规定有权对安全、消防的突发事件进行应急处理，并及时通知甲方。</w:t>
      </w:r>
    </w:p>
    <w:p w14:paraId="2E5F52D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6、乙方对物业管理服务对象违反法律法规、校纪校规的行为，应予以制止，并及时向甲方有关部门报告。</w:t>
      </w:r>
    </w:p>
    <w:p w14:paraId="632BF61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7、乙方不得占用所负责区域建筑物及附属设施，或改变其使用功能；不得利用甲方建筑物、构筑物或其它设施设备从事合同规定的物业管理服务范围以外的任何活动。</w:t>
      </w:r>
    </w:p>
    <w:p w14:paraId="1303952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8、乙方不得将所承担的业务转包或分包给任何第三方（自然人或法人，下同）。</w:t>
      </w:r>
    </w:p>
    <w:p w14:paraId="4615730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9、对乙方员工的要求：</w:t>
      </w:r>
    </w:p>
    <w:p w14:paraId="7875B29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（1）乙方必须严格按照法律法规及合同文件规定合法用工。</w:t>
      </w:r>
    </w:p>
    <w:p w14:paraId="17ECC7D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（2）正常开学期间，岗位人员配备的最低数量要求不少于</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人，如乙方因寒假等因素，对人员数或工作岗位进行调整需提前书面报告甲方，得到甲方书面同意后方可进行。</w:t>
      </w:r>
    </w:p>
    <w:p w14:paraId="1B8A75F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（3）乙方所聘员工要持有健康合格证，无传染病、精神病和不良癖好。</w:t>
      </w:r>
    </w:p>
    <w:p w14:paraId="097D575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（4）乙方员工须有良好形象并统一着装。工装应干净、整洁，有乙方的明显标识，佩戴编号工牌。</w:t>
      </w:r>
    </w:p>
    <w:p w14:paraId="5DA844F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（5）乙方员工要有良好的精神面貌，举止文明、言语得体，服务态度好，不得与服务对象发生冲突和争吵。</w:t>
      </w:r>
    </w:p>
    <w:p w14:paraId="4F2F686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（6）乙方须对新进员工进行行业规范、岗位职责、工作要求、服务质量培训，有行业规范和技术要求的工作，必须按照相关规定持证上岗。</w:t>
      </w:r>
    </w:p>
    <w:p w14:paraId="1191917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（7）乙方所有员工应服从甲方的治安管理，并自觉遵守相关法律法规和学校的规定。乙方员工出现违反法律、法规和甲方有关规定的行为，乙方须进行处理、解决，承担由此带来的一切后果。</w:t>
      </w:r>
    </w:p>
    <w:p w14:paraId="3930445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10、乙方负有安全生产的义务，对其因管理服务原因发生的安全责任事故负有完全责任。</w:t>
      </w:r>
    </w:p>
    <w:p w14:paraId="1BA666A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11、</w:t>
      </w:r>
      <w:r>
        <w:rPr>
          <w:rFonts w:ascii="仿宋" w:hAnsi="仿宋" w:eastAsia="仿宋" w:cs="Times New Roman"/>
          <w:color w:val="auto"/>
          <w:sz w:val="28"/>
          <w:szCs w:val="28"/>
        </w:rPr>
        <w:t>公共设施单件300元（不含）以下（此费用仅为材料费）零星维修</w:t>
      </w:r>
      <w:r>
        <w:rPr>
          <w:rFonts w:hint="eastAsia" w:ascii="仿宋" w:hAnsi="仿宋" w:eastAsia="仿宋" w:cs="Times New Roman"/>
          <w:color w:val="auto"/>
          <w:sz w:val="28"/>
          <w:szCs w:val="28"/>
        </w:rPr>
        <w:t>和更新更换，不含新增加安装项；</w:t>
      </w:r>
      <w:r>
        <w:rPr>
          <w:rFonts w:hint="eastAsia" w:ascii="仿宋" w:hAnsi="仿宋" w:eastAsia="仿宋"/>
          <w:color w:val="auto"/>
          <w:sz w:val="28"/>
          <w:szCs w:val="28"/>
        </w:rPr>
        <w:t>下水道清理。</w:t>
      </w:r>
    </w:p>
    <w:p w14:paraId="41F220C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12、乙方应对</w:t>
      </w:r>
      <w:r>
        <w:rPr>
          <w:rFonts w:hint="eastAsia" w:ascii="仿宋" w:hAnsi="仿宋" w:eastAsia="仿宋"/>
          <w:color w:val="auto"/>
          <w:sz w:val="28"/>
          <w:szCs w:val="28"/>
          <w:lang w:val="en-US" w:eastAsia="zh-CN"/>
        </w:rPr>
        <w:t>服务区域范围内</w:t>
      </w:r>
      <w:r>
        <w:rPr>
          <w:rFonts w:hint="eastAsia" w:ascii="仿宋" w:hAnsi="仿宋" w:eastAsia="仿宋"/>
          <w:color w:val="auto"/>
          <w:sz w:val="28"/>
          <w:szCs w:val="28"/>
        </w:rPr>
        <w:t>的设施设备做好保养和维护工作。应由乙方维修的，乙方应做到及时发现及时解决，不及时维修造成不良影响的，由乙方承担全部责任。</w:t>
      </w:r>
    </w:p>
    <w:p w14:paraId="7D40A2E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13、乙方有及时报修的义务。若乙方不报修或不及时报修，甲方有权追究乙方责任。</w:t>
      </w:r>
    </w:p>
    <w:p w14:paraId="682E308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14、由乙方负责的维修活动中发生的各种维修责任或事故由乙方承担全部责任。</w:t>
      </w:r>
    </w:p>
    <w:p w14:paraId="0876F23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15、乙方有义务按甲方要求做好服务范围内节电节水工作。如因乙方管理服务原因出现“长明灯、长流水”等现象，甲方有权追究乙方责任。</w:t>
      </w:r>
    </w:p>
    <w:p w14:paraId="7253DAF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16、本合同终止时，乙方必须在7个工作日内向甲方移交全部管理用房、设备和设施，以及由甲方提供资金，经由乙方或第三方购买的物品。向甲方提供甲方所需的物业管理档案及其他相关资料。</w:t>
      </w:r>
    </w:p>
    <w:p w14:paraId="35FC01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17、乙方明确：甲方对乙方所有工作人员在服务场所内因执行乙方职务而导致的人身伤害没有任何法律责任；鉴于本合同乙方向甲方提供物业服务的内容包括安全服务，故乙方所有工作人员以及其他任何第三方在服务场所内因他人侵权行为而产生的人身伤害责任由实施侵权的行为人承担；如任何第三方因在甲方场所受到侵害而依法对甲方提出请求并获得法院支持的，甲方有权依照法院生效判决确定的数额向乙方追偿。</w:t>
      </w:r>
    </w:p>
    <w:p w14:paraId="05615C5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因甲方委托管理的物业质量问题及存在的安全隐患导致的损害除外。</w:t>
      </w:r>
    </w:p>
    <w:p w14:paraId="4FABC68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18、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2C0E2E0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19、乙方对在管理过程中发现的安全隐患未能及时发现并向甲方及时报告的，或者乙方虽然履行了发现和报告义务，但未按双方商定的整改方案及时整改以致发生事故，乙方应承担全部赔偿责任，包括但不限于由此而造成的甲方财产损失或者人员伤亡、由此而导致甲方对任何第三方产生的赔偿责任、有关机关对甲方任何经济上的处罚等。</w:t>
      </w:r>
    </w:p>
    <w:p w14:paraId="05A4710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sz w:val="28"/>
          <w:szCs w:val="28"/>
        </w:rPr>
      </w:pPr>
      <w:r>
        <w:rPr>
          <w:rFonts w:hint="eastAsia" w:ascii="仿宋" w:hAnsi="仿宋" w:eastAsia="仿宋"/>
          <w:color w:val="auto"/>
          <w:sz w:val="28"/>
          <w:szCs w:val="28"/>
        </w:rPr>
        <w:t>需甲方整改而没有及时整改时发生的事故应由甲方承担全部责任。</w:t>
      </w:r>
    </w:p>
    <w:p w14:paraId="2F06330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20、合同终止或解除后，乙方出资自购添置的设施、设备（投入的不动产除外）归乙方所有，在7个工作日内由乙方自行处理，逾期视为自行放弃所有权，连同不动产在内由甲方处置，由此发生的处置费用由乙方承担。</w:t>
      </w:r>
    </w:p>
    <w:p w14:paraId="58D998F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乙方的所有员工由乙方解聘解散或妥善安置，不得以任何理由滞留在甲方校园内；乙方应将各楼宇设备设施完好地交还甲方。否则，甲方有权要求乙方承担违约责任，产生费用直接从履约保证金中扣除，不足部分乙方另行支付。</w:t>
      </w:r>
    </w:p>
    <w:p w14:paraId="0594D54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九、合同终止或解除条件</w:t>
      </w:r>
    </w:p>
    <w:p w14:paraId="77CF5C0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出现以下情况之一的，本合同终止或解除：</w:t>
      </w:r>
    </w:p>
    <w:p w14:paraId="0484FA7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1、合同到期的（双方均不需提前通知对方），自然终止。</w:t>
      </w:r>
    </w:p>
    <w:p w14:paraId="7FCEC27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2、甲乙双方经协商后书面解除本合同的。</w:t>
      </w:r>
    </w:p>
    <w:p w14:paraId="48B9A9B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3、乙方出现下列情况之一的，甲方有权解除合同并追究乙方违约责任：</w:t>
      </w:r>
    </w:p>
    <w:p w14:paraId="68E5628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（1）乙方在履约期间的服务质量达不到合同文件规定标准；</w:t>
      </w:r>
    </w:p>
    <w:p w14:paraId="4BFF3B3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（2）乙方对甲方提出的整改要求，拒不整改或整改不到位；</w:t>
      </w:r>
    </w:p>
    <w:p w14:paraId="0CD0364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（3）经政府主管部门认定，乙方发生违法违规情况；</w:t>
      </w:r>
    </w:p>
    <w:p w14:paraId="0B505B3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（4）乙方及其人员存在违法违规、严重失职或严重违背社会公德的行为，给甲方造成重大经济损失或带来不良社会影响的；</w:t>
      </w:r>
    </w:p>
    <w:p w14:paraId="598C8F0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（5）因乙方管理不善引发群体性矛盾，干扰甲方正常工作、学习及生活秩序，影响校园稳定；</w:t>
      </w:r>
    </w:p>
    <w:p w14:paraId="74702DA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（6）乙方未经甲方书面同意，将整体或部分管理服务内容转包或分包给任何第三方；</w:t>
      </w:r>
    </w:p>
    <w:p w14:paraId="3F91A88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（7）乙方存在合同文件规定的其它严重违约行为。</w:t>
      </w:r>
    </w:p>
    <w:p w14:paraId="6F5F1F1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十、违约责任</w:t>
      </w:r>
    </w:p>
    <w:p w14:paraId="7E59EB8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1、乙方出现第九条第三款情形导致合同解除的，甲方不再支付未结算的服务费用，同时乙方还需支付合同总价10%的违约金</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甲方可直接扣除履约保证金，不足部分，乙方应予以补齐。</w:t>
      </w:r>
      <w:r>
        <w:rPr>
          <w:rFonts w:hint="eastAsia" w:ascii="仿宋" w:hAnsi="仿宋" w:eastAsia="仿宋"/>
          <w:color w:val="auto"/>
          <w:sz w:val="28"/>
          <w:szCs w:val="28"/>
        </w:rPr>
        <w:t>若违约金不足弥补甲方的损失，由乙方应予以补齐。</w:t>
      </w:r>
    </w:p>
    <w:p w14:paraId="302C5A5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、其它违约责任按合同文件规定处理。</w:t>
      </w:r>
    </w:p>
    <w:p w14:paraId="242249D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十一、合同纠纷处理</w:t>
      </w:r>
    </w:p>
    <w:p w14:paraId="4476B47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期间，因乙方自身用工问题引发的矛盾、纠纷及事故，由乙方负责处理并承担一切费用，同时承担一切法律责任和后果；乙方与甲方以外的单位和个人发生的债权债务以及其它纠纷，由乙方自行承担和处理，并承担法律责任。</w:t>
      </w:r>
    </w:p>
    <w:p w14:paraId="7E739ED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乙方上述的矛盾、纠纷等如给甲方造成不良影响和损失的，视为乙方严重违约，甲方有权解除合同并要求乙方赔偿；情节严重影响校园稳定的，甲方有权干预处理，发生的相关费用甲方有权从乙方履约保证金中扣除。</w:t>
      </w:r>
    </w:p>
    <w:p w14:paraId="03968BF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2、依法鉴定因乙方原因和责任，发生殴打谩骂师生、失火、失窃等其他事故，由乙方负责处理，并依法承担全部责任。</w:t>
      </w:r>
    </w:p>
    <w:p w14:paraId="2E72538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十二、履约保证金</w:t>
      </w:r>
    </w:p>
    <w:p w14:paraId="1CAE35C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1、本项目履约保证金为</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元（人民币大写：</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）。合同期满后，乙方与甲方债权、债务结清，从乙方撤离之日起15个工作日内，退还履约保证金。</w:t>
      </w:r>
    </w:p>
    <w:p w14:paraId="3941308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2、乙方提供的履约保证金以银行转账形式提供的，与此有关的费用由乙方承担。</w:t>
      </w:r>
    </w:p>
    <w:p w14:paraId="29091E2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3、因乙方原因导致合同终止的，履约保证金不予退还，且不得冲抵违约金、赔偿金。</w:t>
      </w:r>
    </w:p>
    <w:p w14:paraId="1FE7D8C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4、履约保证金转（汇）开户信息：单位名称：皖西学院；开户行 ：中国农业银行股份有限公司六安解放路支行；账号：12040301040014312；统一社会信用代码（纳税人识别号）：12340000486188663C。</w:t>
      </w:r>
    </w:p>
    <w:p w14:paraId="6DECD60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十三、其他</w:t>
      </w:r>
    </w:p>
    <w:p w14:paraId="642833F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1、乙方不得以“皖西学院***”名义对外签订各类合同协议（含劳动合同），乙方在履约期间与第三方发生的任何债权、债务等纠纷均与甲方无关。</w:t>
      </w:r>
    </w:p>
    <w:p w14:paraId="6F86A16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2、本合同一式捌份，甲方伍份，乙方叁份。</w:t>
      </w:r>
    </w:p>
    <w:p w14:paraId="503D43A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3、双方可对本合同的条款进行补充，以书面形式签订补充协议，补充协议与本合同具有同等效力。</w:t>
      </w:r>
    </w:p>
    <w:p w14:paraId="480D7DE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4、本合同经甲方、乙方授权代表签字并盖章后生效。</w:t>
      </w:r>
    </w:p>
    <w:p w14:paraId="727D92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5、合同在履行中发生争议，双方应协商解决，协商不成的，双方均可向六安市裕安区人民法院提起诉讼。</w:t>
      </w:r>
    </w:p>
    <w:p w14:paraId="50B7E0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olor w:val="auto"/>
          <w:sz w:val="28"/>
          <w:szCs w:val="28"/>
        </w:rPr>
      </w:pPr>
      <w:r>
        <w:rPr>
          <w:rFonts w:hint="eastAsia" w:ascii="仿宋" w:hAnsi="仿宋" w:eastAsia="仿宋"/>
          <w:color w:val="auto"/>
          <w:sz w:val="28"/>
          <w:szCs w:val="28"/>
        </w:rPr>
        <w:t>（下无正文）</w:t>
      </w:r>
    </w:p>
    <w:p w14:paraId="6E3934B0">
      <w:pPr>
        <w:pStyle w:val="2"/>
        <w:rPr>
          <w:rFonts w:hint="eastAsia" w:ascii="仿宋" w:hAnsi="仿宋" w:eastAsia="仿宋"/>
          <w:color w:val="auto"/>
          <w:sz w:val="28"/>
          <w:szCs w:val="28"/>
        </w:rPr>
      </w:pPr>
    </w:p>
    <w:p w14:paraId="7F1155B5">
      <w:pPr>
        <w:pStyle w:val="2"/>
        <w:rPr>
          <w:rFonts w:hint="eastAsia" w:ascii="仿宋" w:hAnsi="仿宋" w:eastAsia="仿宋"/>
          <w:color w:val="auto"/>
          <w:sz w:val="28"/>
          <w:szCs w:val="28"/>
          <w:lang w:eastAsia="zh-CN"/>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本页无正文，为合同签字盖章页</w:t>
      </w:r>
      <w:r>
        <w:rPr>
          <w:rFonts w:hint="eastAsia" w:ascii="仿宋" w:hAnsi="仿宋" w:eastAsia="仿宋"/>
          <w:color w:val="auto"/>
          <w:sz w:val="28"/>
          <w:szCs w:val="28"/>
          <w:lang w:eastAsia="zh-CN"/>
        </w:rPr>
        <w:t>）</w:t>
      </w:r>
    </w:p>
    <w:p w14:paraId="572C1D5F">
      <w:pPr>
        <w:rPr>
          <w:rFonts w:ascii="仿宋" w:hAnsi="仿宋" w:eastAsia="仿宋"/>
          <w:color w:val="auto"/>
          <w:sz w:val="28"/>
          <w:szCs w:val="28"/>
        </w:rPr>
      </w:pPr>
      <w:r>
        <w:rPr>
          <w:rFonts w:hint="eastAsia" w:ascii="仿宋" w:hAnsi="仿宋" w:eastAsia="仿宋"/>
          <w:color w:val="auto"/>
          <w:sz w:val="28"/>
          <w:szCs w:val="28"/>
        </w:rPr>
        <w:t>甲方（盖章）：皖西学院</w:t>
      </w:r>
    </w:p>
    <w:p w14:paraId="67874E12">
      <w:pPr>
        <w:rPr>
          <w:rFonts w:ascii="仿宋" w:hAnsi="仿宋" w:eastAsia="仿宋"/>
          <w:color w:val="auto"/>
          <w:sz w:val="28"/>
          <w:szCs w:val="28"/>
        </w:rPr>
      </w:pPr>
      <w:r>
        <w:rPr>
          <w:rFonts w:hint="eastAsia" w:ascii="仿宋" w:hAnsi="仿宋" w:eastAsia="仿宋"/>
          <w:color w:val="auto"/>
          <w:sz w:val="28"/>
          <w:szCs w:val="28"/>
        </w:rPr>
        <w:t>法定（授权）代表签字：</w:t>
      </w:r>
    </w:p>
    <w:p w14:paraId="69E895BC">
      <w:pPr>
        <w:ind w:firstLine="2800" w:firstLineChars="1000"/>
        <w:rPr>
          <w:rFonts w:ascii="仿宋" w:hAnsi="仿宋" w:eastAsia="仿宋"/>
          <w:color w:val="auto"/>
          <w:sz w:val="28"/>
          <w:szCs w:val="28"/>
        </w:rPr>
      </w:pP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月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w:t>
      </w:r>
    </w:p>
    <w:p w14:paraId="36D9E88A">
      <w:pPr>
        <w:rPr>
          <w:rFonts w:ascii="仿宋" w:hAnsi="仿宋" w:eastAsia="仿宋"/>
          <w:color w:val="auto"/>
          <w:sz w:val="28"/>
          <w:szCs w:val="28"/>
        </w:rPr>
      </w:pPr>
    </w:p>
    <w:p w14:paraId="2D41B8CB">
      <w:pPr>
        <w:rPr>
          <w:rFonts w:ascii="仿宋" w:hAnsi="仿宋" w:eastAsia="仿宋"/>
          <w:color w:val="auto"/>
          <w:sz w:val="28"/>
          <w:szCs w:val="28"/>
        </w:rPr>
      </w:pPr>
      <w:r>
        <w:rPr>
          <w:rFonts w:hint="eastAsia" w:ascii="仿宋" w:hAnsi="仿宋" w:eastAsia="仿宋"/>
          <w:color w:val="auto"/>
          <w:sz w:val="28"/>
          <w:szCs w:val="28"/>
        </w:rPr>
        <w:t>乙方（盖章）：</w:t>
      </w:r>
    </w:p>
    <w:p w14:paraId="7AB4732D">
      <w:pPr>
        <w:rPr>
          <w:rFonts w:ascii="仿宋" w:hAnsi="仿宋" w:eastAsia="仿宋"/>
          <w:color w:val="auto"/>
          <w:sz w:val="28"/>
          <w:szCs w:val="28"/>
        </w:rPr>
      </w:pPr>
      <w:r>
        <w:rPr>
          <w:rFonts w:hint="eastAsia" w:ascii="仿宋" w:hAnsi="仿宋" w:eastAsia="仿宋"/>
          <w:color w:val="auto"/>
          <w:sz w:val="28"/>
          <w:szCs w:val="28"/>
        </w:rPr>
        <w:t>法定（授权）代表签字：</w:t>
      </w:r>
    </w:p>
    <w:p w14:paraId="7F39B2BF">
      <w:pPr>
        <w:ind w:firstLine="2800" w:firstLineChars="1000"/>
        <w:rPr>
          <w:rFonts w:hint="default" w:ascii="Times New Roman" w:hAnsi="Times New Roman" w:eastAsia="仿宋" w:cs="Times New Roman"/>
          <w:b w:val="0"/>
          <w:bCs/>
          <w:color w:val="auto"/>
          <w:spacing w:val="2"/>
          <w:kern w:val="0"/>
          <w:sz w:val="28"/>
          <w:szCs w:val="28"/>
          <w:vertAlign w:val="baseline"/>
          <w:lang w:val="en-US" w:eastAsia="zh-CN"/>
        </w:rPr>
      </w:pP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月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w:t>
      </w:r>
    </w:p>
    <w:p w14:paraId="1354F0E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352D303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6AF69C3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64EDDD7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1EAAB13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4168C0A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2D7D323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672CC73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21DF66D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52F69B2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188FCC6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2CE3EE5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3DE4D97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4848563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67FC6B9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07119F7B">
      <w:pPr>
        <w:pStyle w:val="2"/>
        <w:rPr>
          <w:rFonts w:hint="default"/>
          <w:lang w:val="en-US" w:eastAsia="zh-CN"/>
        </w:rPr>
      </w:pPr>
    </w:p>
    <w:p w14:paraId="0F84BD69">
      <w:pPr>
        <w:pStyle w:val="2"/>
        <w:rPr>
          <w:rFonts w:hint="default"/>
          <w:lang w:val="en-US" w:eastAsia="zh-CN"/>
        </w:rPr>
      </w:pPr>
    </w:p>
    <w:p w14:paraId="24667786">
      <w:pPr>
        <w:pStyle w:val="2"/>
        <w:rPr>
          <w:rFonts w:hint="default"/>
          <w:lang w:val="en-US" w:eastAsia="zh-CN"/>
        </w:rPr>
      </w:pPr>
    </w:p>
    <w:p w14:paraId="096994EE">
      <w:pPr>
        <w:pStyle w:val="2"/>
        <w:rPr>
          <w:rFonts w:hint="eastAsia"/>
          <w:lang w:val="en-US" w:eastAsia="zh-CN"/>
        </w:rPr>
      </w:pPr>
      <w:bookmarkStart w:id="0" w:name="_GoBack"/>
      <w:bookmarkEnd w:id="0"/>
    </w:p>
    <w:sectPr>
      <w:footerReference r:id="rId3" w:type="default"/>
      <w:pgSz w:w="11906" w:h="16838"/>
      <w:pgMar w:top="1440" w:right="1701" w:bottom="1134"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1118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5E86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85E86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7DDA9"/>
    <w:multiLevelType w:val="singleLevel"/>
    <w:tmpl w:val="1BA7DDA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jkxYTE1OGU0Yzk1NDNiNjJiNjlkNDAwNzIxMmYifQ=="/>
  </w:docVars>
  <w:rsids>
    <w:rsidRoot w:val="59A017FA"/>
    <w:rsid w:val="00FA1D34"/>
    <w:rsid w:val="15D6683B"/>
    <w:rsid w:val="16D3103C"/>
    <w:rsid w:val="21672A3A"/>
    <w:rsid w:val="258B5FA8"/>
    <w:rsid w:val="309472F2"/>
    <w:rsid w:val="3E6D6645"/>
    <w:rsid w:val="43A76E82"/>
    <w:rsid w:val="4B810F60"/>
    <w:rsid w:val="4CBC08E9"/>
    <w:rsid w:val="599403B1"/>
    <w:rsid w:val="59A017FA"/>
    <w:rsid w:val="77FC1533"/>
    <w:rsid w:val="7923678E"/>
    <w:rsid w:val="7BE2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8"/>
    <w:qFormat/>
    <w:uiPriority w:val="0"/>
    <w:pPr>
      <w:keepNext/>
      <w:keepLines/>
      <w:spacing w:before="340" w:after="330" w:line="578" w:lineRule="auto"/>
      <w:outlineLvl w:val="0"/>
    </w:pPr>
    <w:rPr>
      <w:b/>
      <w:bCs/>
      <w:kern w:val="44"/>
      <w:sz w:val="30"/>
      <w:szCs w:val="44"/>
    </w:rPr>
  </w:style>
  <w:style w:type="paragraph" w:styleId="5">
    <w:name w:val="heading 2"/>
    <w:basedOn w:val="1"/>
    <w:next w:val="1"/>
    <w:link w:val="19"/>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 w:val="24"/>
    </w:rPr>
  </w:style>
  <w:style w:type="paragraph" w:styleId="3">
    <w:name w:val="Body Text"/>
    <w:basedOn w:val="1"/>
    <w:unhideWhenUsed/>
    <w:qFormat/>
    <w:uiPriority w:val="99"/>
    <w:pPr>
      <w:spacing w:after="120"/>
    </w:pPr>
  </w:style>
  <w:style w:type="paragraph" w:styleId="7">
    <w:name w:val="annotation text"/>
    <w:basedOn w:val="1"/>
    <w:qFormat/>
    <w:uiPriority w:val="0"/>
    <w:pPr>
      <w:jc w:val="left"/>
    </w:pPr>
  </w:style>
  <w:style w:type="paragraph" w:styleId="8">
    <w:name w:val="Plain Text"/>
    <w:basedOn w:val="1"/>
    <w:qFormat/>
    <w:uiPriority w:val="99"/>
    <w:rPr>
      <w:rFonts w:ascii="宋体" w:hAnsi="Courier New"/>
    </w:rPr>
  </w:style>
  <w:style w:type="paragraph" w:styleId="9">
    <w:name w:val="Date"/>
    <w:basedOn w:val="1"/>
    <w:next w:val="1"/>
    <w:qFormat/>
    <w:uiPriority w:val="0"/>
    <w:rPr>
      <w:b/>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index 1"/>
    <w:basedOn w:val="1"/>
    <w:next w:val="1"/>
    <w:semiHidden/>
    <w:qFormat/>
    <w:uiPriority w:val="0"/>
    <w:pPr>
      <w:jc w:val="center"/>
    </w:pPr>
    <w:rPr>
      <w:rFonts w:ascii="仿宋_GB2312" w:eastAsia="仿宋_GB2312"/>
      <w:b/>
      <w:bCs/>
      <w:sz w:val="28"/>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7">
    <w:name w:val="xl31"/>
    <w:basedOn w:val="1"/>
    <w:qFormat/>
    <w:uiPriority w:val="0"/>
    <w:pPr>
      <w:widowControl/>
      <w:spacing w:before="100" w:beforeAutospacing="1" w:after="100" w:afterAutospacing="1"/>
      <w:jc w:val="center"/>
    </w:pPr>
    <w:rPr>
      <w:b/>
      <w:bCs/>
      <w:kern w:val="0"/>
      <w:sz w:val="28"/>
      <w:szCs w:val="28"/>
    </w:rPr>
  </w:style>
  <w:style w:type="character" w:customStyle="1" w:styleId="18">
    <w:name w:val="标题 1 字符"/>
    <w:link w:val="4"/>
    <w:qFormat/>
    <w:uiPriority w:val="0"/>
    <w:rPr>
      <w:b/>
      <w:bCs/>
      <w:kern w:val="44"/>
      <w:sz w:val="30"/>
      <w:szCs w:val="44"/>
    </w:rPr>
  </w:style>
  <w:style w:type="character" w:customStyle="1" w:styleId="19">
    <w:name w:val="标题 2 字符"/>
    <w:link w:val="5"/>
    <w:qFormat/>
    <w:uiPriority w:val="0"/>
    <w:rPr>
      <w:rFonts w:ascii="Arial" w:hAnsi="Arial" w:eastAsia="黑体"/>
      <w:b/>
      <w:bCs/>
      <w:sz w:val="32"/>
      <w:szCs w:val="32"/>
    </w:rPr>
  </w:style>
  <w:style w:type="paragraph" w:customStyle="1" w:styleId="20">
    <w:name w:val="Char Char Char Char Char Char Char1 Char"/>
    <w:basedOn w:val="1"/>
    <w:qFormat/>
    <w:uiPriority w:val="0"/>
    <w:rPr>
      <w:rFonts w:ascii="Tahoma" w:hAnsi="Tahoma"/>
      <w:sz w:val="24"/>
    </w:rPr>
  </w:style>
  <w:style w:type="paragraph" w:customStyle="1" w:styleId="21">
    <w:name w:val="正文 首行缩进:  2 字符"/>
    <w:basedOn w:val="1"/>
    <w:qFormat/>
    <w:uiPriority w:val="0"/>
    <w:pPr>
      <w:ind w:firstLine="579" w:firstLineChars="200"/>
    </w:pPr>
    <w:rPr>
      <w:rFonts w:cs="宋体"/>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13618</Words>
  <Characters>14057</Characters>
  <Lines>0</Lines>
  <Paragraphs>0</Paragraphs>
  <TotalTime>5</TotalTime>
  <ScaleCrop>false</ScaleCrop>
  <LinksUpToDate>false</LinksUpToDate>
  <CharactersWithSpaces>14640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2024-10-01T01:30:00Z</dcterms:created>
  <dc:creator>Admin</dc:creator>
  <cp:lastModifiedBy>j</cp:lastModifiedBy>
  <cp:lastPrinted>2024-10-08T07:12:00Z</cp:lastPrinted>
  <dcterms:modified xsi:type="dcterms:W3CDTF">2024-10-08T08:13:52Z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FCB69450134D4E1EA5EA847C68CB2910_13</vt:lpwstr>
  </property>
</Properties>
</file>