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right="34" w:firstLine="0" w:firstLineChars="0"/>
        <w:jc w:val="left"/>
        <w:rPr>
          <w:rFonts w:hint="default" w:ascii="仿宋" w:hAnsi="仿宋" w:eastAsia="仿宋" w:cs="宋体"/>
          <w:spacing w:val="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附件1：合同归口管理部门说明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（一）党委（校长）办公室：负责校地合作、对口支援、法律事务服务、各类捐赠等与部门业务相关的合同管理；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（二）党委组织部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党校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：负责由其组织的干部培训等与部门业务相关的合同管理；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（三）党委宣传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统战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部：负责宣传、广告服务等与部门业务相关的合同管理；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（四）审计处：负责审计服务等与部门业务相关的合同管理；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default" w:ascii="仿宋" w:hAnsi="仿宋" w:eastAsia="仿宋" w:cs="宋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（五）党委教师工作部（人事处、人才工作办公室）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负责人事管理等与部门业务相关的合同管理；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（六）教务处：负责人才培养、合作办学与教学实习基地等与部门业务相关的合同管理；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（七）学生处（就业指导中心）、团委：负责学生事务、学生活动等与部门业务相关的合同管理；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（八）科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研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处：负责纵向、横向科研项目，技术开发、咨询服务、扶贫开发，以及科技成果转让等与部门业务相关的合同管理；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（九）财务处：负责财务信息化建设</w:t>
      </w:r>
      <w:r>
        <w:rPr>
          <w:rFonts w:hint="eastAsia" w:ascii="仿宋" w:hAnsi="仿宋" w:eastAsia="仿宋" w:cs="宋体"/>
          <w:bCs/>
          <w:spacing w:val="2"/>
          <w:kern w:val="0"/>
          <w:sz w:val="32"/>
          <w:szCs w:val="32"/>
        </w:rPr>
        <w:t>、校级层面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金融服务等与部门业务相关的合同管理；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（十）国有资产管理处：负责资产管理、资产租赁、办公设备及家具采购等与部门业务相关的合同管理；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（十一）后勤管理处：负责基本建设项目、大型维修项目（含大型公共建筑整体性维修）合同及其配套合同，以及学校安排的其他建设或维修项目、后勤服务等与部门业务相关的合同管理；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（十二）保卫处：负责校园安全管理等与部门业务相关的合同管理；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（十三）工会：负责工会福利、教职工群众体育活动等与部门业务相关的合同管理；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（十四）图书馆：负责各类书刊资源的采购、服务等与部门业务相关的合同管理；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（十五）继续教育学院：负责高等学历继续教育、非学历继续教育等与部门业务相关的合同管理；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（十六）国际交流与合作中心：负责与国外及港澳台地区的合作与交流、各类中外合作办学等与部门业务相关的合同管理；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）后勤总公司：负责物业、食堂及商贸服务等与部门业务相关的合同管理；</w:t>
      </w:r>
    </w:p>
    <w:p>
      <w:pPr>
        <w:widowControl/>
        <w:numPr>
          <w:ilvl w:val="0"/>
          <w:numId w:val="0"/>
        </w:numPr>
        <w:ind w:left="0" w:leftChars="0" w:right="34" w:rightChars="0" w:firstLine="417" w:firstLineChars="129"/>
        <w:jc w:val="left"/>
        <w:rPr>
          <w:rFonts w:hint="eastAsia" w:ascii="仿宋" w:hAnsi="仿宋" w:eastAsia="仿宋" w:cs="宋体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）实验实训教学管理部：负责各类教学仪器设备和材料的购置、维修维护等与部门业务相关的合同管理；</w:t>
      </w:r>
    </w:p>
    <w:p>
      <w:pPr>
        <w:widowControl/>
        <w:ind w:left="0" w:leftChars="0" w:right="34" w:firstLine="420" w:firstLineChars="0"/>
        <w:jc w:val="left"/>
        <w:rPr>
          <w:rFonts w:hint="eastAsia" w:ascii="仿宋" w:hAnsi="仿宋" w:eastAsia="仿宋" w:cs="宋体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（十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离退休工作处：负责离退休人员的服务和管理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等与部门业务相关的合同管理；</w:t>
      </w:r>
    </w:p>
    <w:p>
      <w:pPr>
        <w:widowControl/>
        <w:numPr>
          <w:ilvl w:val="0"/>
          <w:numId w:val="0"/>
        </w:numPr>
        <w:ind w:left="0" w:leftChars="0" w:right="34" w:rightChars="0" w:firstLine="417" w:firstLineChars="129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信息化建设与管理中心：负责</w:t>
      </w:r>
      <w:r>
        <w:rPr>
          <w:rFonts w:hint="eastAsia" w:ascii="仿宋" w:hAnsi="仿宋" w:eastAsia="仿宋" w:cs="宋体"/>
          <w:kern w:val="0"/>
          <w:sz w:val="32"/>
          <w:szCs w:val="32"/>
        </w:rPr>
        <w:t>信息网络服务等与部门业务相关的合同管理；</w:t>
      </w:r>
    </w:p>
    <w:p>
      <w:pPr>
        <w:widowControl/>
        <w:numPr>
          <w:ilvl w:val="0"/>
          <w:numId w:val="0"/>
        </w:numPr>
        <w:ind w:left="0" w:leftChars="0" w:right="34" w:rightChars="0" w:firstLine="417" w:firstLineChars="129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  <w:lang w:val="en-US" w:eastAsia="zh-CN"/>
        </w:rPr>
        <w:t>二十一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）出版合同以经费来源部门作为归口管理部门；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80C6D"/>
    <w:rsid w:val="0CCA6479"/>
    <w:rsid w:val="0F3650FA"/>
    <w:rsid w:val="314C4DCE"/>
    <w:rsid w:val="7EA8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2022-02-25T07:15:00Z</dcterms:created>
  <dc:creator>皖西学院姜老师</dc:creator>
  <cp:lastModifiedBy>皖西学院姜老师</cp:lastModifiedBy>
  <dcterms:modified xsi:type="dcterms:W3CDTF">2023-02-07T07:39:57Z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A4A403C88A6E41BF9995DEB6B3BBE114</vt:lpwstr>
  </property>
</Properties>
</file>