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3" w:firstLineChars="200"/>
        <w:jc w:val="both"/>
        <w:rPr>
          <w:rFonts w:hint="eastAsia" w:ascii="黑体" w:hAnsi="黑体" w:eastAsia="黑体" w:cs="黑体"/>
          <w:b/>
          <w:bCs w:val="0"/>
          <w:sz w:val="36"/>
          <w:szCs w:val="32"/>
          <w:lang w:val="en-US" w:eastAsia="zh-CN"/>
        </w:rPr>
      </w:pPr>
      <w:r>
        <w:rPr>
          <w:rFonts w:hint="eastAsia" w:ascii="黑体" w:hAnsi="黑体" w:eastAsia="黑体" w:cs="黑体"/>
          <w:b/>
          <w:bCs w:val="0"/>
          <w:sz w:val="32"/>
          <w:szCs w:val="32"/>
          <w:u w:val="single"/>
          <w:lang w:val="en-US" w:eastAsia="zh-CN"/>
        </w:rPr>
        <w:t xml:space="preserve">                     </w:t>
      </w:r>
      <w:r>
        <w:rPr>
          <w:rFonts w:hint="eastAsia" w:ascii="黑体" w:hAnsi="黑体" w:eastAsia="黑体" w:cs="黑体"/>
          <w:b/>
          <w:bCs w:val="0"/>
          <w:sz w:val="32"/>
          <w:szCs w:val="32"/>
        </w:rPr>
        <w:t>项目</w:t>
      </w:r>
      <w:r>
        <w:rPr>
          <w:rFonts w:hint="eastAsia" w:ascii="黑体" w:hAnsi="黑体" w:eastAsia="黑体" w:cs="黑体"/>
          <w:b/>
          <w:bCs w:val="0"/>
          <w:sz w:val="32"/>
          <w:szCs w:val="32"/>
          <w:lang w:eastAsia="zh-CN"/>
        </w:rPr>
        <w:t>采购需求</w:t>
      </w:r>
      <w:r>
        <w:rPr>
          <w:rFonts w:hint="eastAsia" w:ascii="黑体" w:hAnsi="黑体" w:eastAsia="黑体" w:cs="黑体"/>
          <w:b/>
          <w:bCs w:val="0"/>
          <w:sz w:val="32"/>
          <w:szCs w:val="32"/>
          <w:lang w:val="en-US" w:eastAsia="zh-CN"/>
        </w:rPr>
        <w:t>与采购实施计划</w:t>
      </w:r>
    </w:p>
    <w:p>
      <w:pPr>
        <w:keepNext w:val="0"/>
        <w:keepLines w:val="0"/>
        <w:pageBreakBefore w:val="0"/>
        <w:widowControl w:val="0"/>
        <w:kinsoku/>
        <w:wordWrap/>
        <w:overflowPunct/>
        <w:topLinePunct w:val="0"/>
        <w:autoSpaceDE/>
        <w:autoSpaceDN/>
        <w:bidi w:val="0"/>
        <w:adjustRightInd/>
        <w:snapToGrid/>
        <w:spacing w:before="313" w:beforeLines="100"/>
        <w:jc w:val="both"/>
        <w:textAlignment w:val="auto"/>
        <w:rPr>
          <w:rFonts w:hint="eastAsia" w:eastAsia="宋体"/>
          <w:b/>
          <w:bCs/>
          <w:sz w:val="28"/>
          <w:szCs w:val="28"/>
          <w:lang w:eastAsia="zh-CN"/>
        </w:rPr>
      </w:pPr>
      <w:r>
        <w:rPr>
          <w:rFonts w:hint="eastAsia"/>
          <w:b/>
          <w:sz w:val="28"/>
          <w:szCs w:val="28"/>
          <w:lang w:eastAsia="zh-CN"/>
        </w:rPr>
        <w:t>一、供应商</w:t>
      </w:r>
      <w:r>
        <w:rPr>
          <w:rFonts w:hint="eastAsia"/>
          <w:b/>
          <w:sz w:val="28"/>
          <w:szCs w:val="28"/>
        </w:rPr>
        <w:t>资格</w:t>
      </w:r>
      <w:r>
        <w:rPr>
          <w:rFonts w:hint="eastAsia"/>
          <w:b/>
          <w:sz w:val="28"/>
          <w:szCs w:val="28"/>
          <w:lang w:val="en-US" w:eastAsia="zh-CN"/>
        </w:rPr>
        <w:t>要求</w:t>
      </w:r>
      <w:r>
        <w:rPr>
          <w:rFonts w:hint="eastAsia"/>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280" w:leftChars="0"/>
        <w:textAlignment w:val="auto"/>
        <w:rPr>
          <w:rFonts w:hint="eastAsia"/>
          <w:b w:val="0"/>
          <w:bCs w:val="0"/>
          <w:color w:val="auto"/>
          <w:sz w:val="24"/>
          <w:szCs w:val="24"/>
          <w:lang w:val="en-US" w:eastAsia="zh-CN"/>
        </w:rPr>
      </w:pPr>
      <w:r>
        <w:rPr>
          <w:rFonts w:hint="default"/>
          <w:b w:val="0"/>
          <w:bCs w:val="0"/>
          <w:color w:val="auto"/>
          <w:sz w:val="24"/>
          <w:szCs w:val="24"/>
          <w:lang w:val="en-US" w:eastAsia="zh-CN"/>
        </w:rPr>
        <w:t>1</w:t>
      </w:r>
      <w:r>
        <w:rPr>
          <w:rFonts w:hint="eastAsia"/>
          <w:b w:val="0"/>
          <w:bCs w:val="0"/>
          <w:color w:val="auto"/>
          <w:sz w:val="24"/>
          <w:szCs w:val="24"/>
          <w:lang w:val="en-US" w:eastAsia="zh-CN"/>
        </w:rPr>
        <w:t>、符合《中华人民共和国政府采购法》第二十二条规定；</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280" w:leftChars="0"/>
        <w:textAlignment w:val="auto"/>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2、是否专门面向中小企业采购：</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280" w:leftChars="0" w:firstLine="480" w:firstLineChars="200"/>
        <w:textAlignment w:val="auto"/>
        <w:rPr>
          <w:rFonts w:hint="default"/>
          <w:i w:val="0"/>
          <w:iCs w:val="0"/>
          <w:sz w:val="24"/>
          <w:szCs w:val="24"/>
          <w:u w:val="none"/>
          <w:lang w:val="en-US" w:eastAsia="zh-CN"/>
        </w:rPr>
      </w:pPr>
      <w:r>
        <w:rPr>
          <w:rFonts w:hint="eastAsia"/>
          <w:i w:val="0"/>
          <w:iCs w:val="0"/>
          <w:sz w:val="24"/>
          <w:szCs w:val="24"/>
          <w:u w:val="none"/>
          <w:lang w:val="en-US" w:eastAsia="zh-CN"/>
        </w:rPr>
        <w:sym w:font="Wingdings" w:char="00A8"/>
      </w:r>
      <w:r>
        <w:rPr>
          <w:rFonts w:hint="eastAsia"/>
          <w:i w:val="0"/>
          <w:iCs w:val="0"/>
          <w:sz w:val="24"/>
          <w:szCs w:val="24"/>
          <w:u w:val="none"/>
          <w:lang w:val="en-US" w:eastAsia="zh-CN"/>
        </w:rPr>
        <w:t>是（</w:t>
      </w:r>
      <w:r>
        <w:rPr>
          <w:rFonts w:hint="eastAsia"/>
          <w:i w:val="0"/>
          <w:iCs w:val="0"/>
          <w:sz w:val="24"/>
          <w:szCs w:val="24"/>
          <w:u w:val="none"/>
          <w:lang w:val="en-US" w:eastAsia="zh-CN"/>
        </w:rPr>
        <w:sym w:font="Wingdings" w:char="00A8"/>
      </w:r>
      <w:r>
        <w:rPr>
          <w:rFonts w:hint="eastAsia"/>
          <w:i w:val="0"/>
          <w:iCs w:val="0"/>
          <w:sz w:val="24"/>
          <w:szCs w:val="24"/>
          <w:u w:val="none"/>
          <w:lang w:val="en-US" w:eastAsia="zh-CN"/>
        </w:rPr>
        <w:t xml:space="preserve">中 </w:t>
      </w:r>
      <w:r>
        <w:rPr>
          <w:rFonts w:hint="eastAsia"/>
          <w:i w:val="0"/>
          <w:iCs w:val="0"/>
          <w:sz w:val="24"/>
          <w:szCs w:val="24"/>
          <w:u w:val="none"/>
          <w:lang w:val="en-US" w:eastAsia="zh-CN"/>
        </w:rPr>
        <w:sym w:font="Wingdings" w:char="00A8"/>
      </w:r>
      <w:r>
        <w:rPr>
          <w:rFonts w:hint="eastAsia"/>
          <w:i w:val="0"/>
          <w:iCs w:val="0"/>
          <w:sz w:val="24"/>
          <w:szCs w:val="24"/>
          <w:u w:val="none"/>
          <w:lang w:val="en-US" w:eastAsia="zh-CN"/>
        </w:rPr>
        <w:t xml:space="preserve">小 </w:t>
      </w:r>
      <w:r>
        <w:rPr>
          <w:rFonts w:hint="eastAsia"/>
          <w:i w:val="0"/>
          <w:iCs w:val="0"/>
          <w:sz w:val="24"/>
          <w:szCs w:val="24"/>
          <w:u w:val="none"/>
          <w:lang w:val="en-US" w:eastAsia="zh-CN"/>
        </w:rPr>
        <w:sym w:font="Wingdings" w:char="00A8"/>
      </w:r>
      <w:r>
        <w:rPr>
          <w:rFonts w:hint="eastAsia"/>
          <w:i w:val="0"/>
          <w:iCs w:val="0"/>
          <w:sz w:val="24"/>
          <w:szCs w:val="24"/>
          <w:u w:val="none"/>
          <w:lang w:val="en-US" w:eastAsia="zh-CN"/>
        </w:rPr>
        <w:t xml:space="preserve">微 ）   </w:t>
      </w:r>
      <w:r>
        <w:rPr>
          <w:rFonts w:hint="eastAsia"/>
          <w:i w:val="0"/>
          <w:iCs w:val="0"/>
          <w:sz w:val="24"/>
          <w:szCs w:val="24"/>
          <w:u w:val="none"/>
          <w:lang w:val="en-US" w:eastAsia="zh-CN"/>
        </w:rPr>
        <w:sym w:font="Wingdings" w:char="00A8"/>
      </w:r>
      <w:r>
        <w:rPr>
          <w:rFonts w:hint="eastAsia"/>
          <w:i w:val="0"/>
          <w:iCs w:val="0"/>
          <w:sz w:val="24"/>
          <w:szCs w:val="24"/>
          <w:u w:val="none"/>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0" w:leftChars="0" w:firstLine="480" w:firstLineChars="200"/>
        <w:textAlignment w:val="auto"/>
        <w:rPr>
          <w:rFonts w:hint="eastAsia" w:ascii="宋体" w:hAnsi="宋体" w:eastAsia="宋体" w:cs="宋体"/>
          <w:i/>
          <w:iCs/>
          <w:color w:val="FF0000"/>
          <w:sz w:val="24"/>
          <w:szCs w:val="24"/>
          <w:u w:val="none"/>
          <w:lang w:val="en-US" w:eastAsia="zh-CN"/>
        </w:rPr>
      </w:pPr>
      <w:r>
        <w:rPr>
          <w:rFonts w:hint="eastAsia"/>
          <w:i/>
          <w:iCs/>
          <w:color w:val="FF0000"/>
          <w:sz w:val="24"/>
          <w:szCs w:val="24"/>
          <w:u w:val="none"/>
          <w:lang w:val="en-US" w:eastAsia="zh-CN"/>
        </w:rPr>
        <w:t>（说明：中小企业是指项目所有产品的生产制造商，请选择面向中或小或微型。请参考工信部联企业财库</w:t>
      </w:r>
      <w:r>
        <w:rPr>
          <w:rFonts w:hint="eastAsia" w:ascii="宋体" w:hAnsi="宋体" w:eastAsia="宋体" w:cs="宋体"/>
          <w:i/>
          <w:iCs/>
          <w:color w:val="FF0000"/>
          <w:sz w:val="24"/>
          <w:szCs w:val="24"/>
          <w:u w:val="none"/>
          <w:lang w:val="en-US" w:eastAsia="zh-CN"/>
        </w:rPr>
        <w:t>〔2011〕300号工业和信息化部 国家统计局 国家发展和改革委员会 财政部《关于印发中小企业划型标准规定的通知》，见国资处网站规章制度国家文件。</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0" w:leftChars="0" w:firstLine="480" w:firstLineChars="200"/>
        <w:textAlignment w:val="auto"/>
        <w:rPr>
          <w:rFonts w:hint="default"/>
          <w:i/>
          <w:iCs/>
          <w:sz w:val="24"/>
          <w:szCs w:val="24"/>
          <w:u w:val="none"/>
          <w:lang w:val="en-US" w:eastAsia="zh-CN"/>
        </w:rPr>
      </w:pPr>
      <w:r>
        <w:rPr>
          <w:rFonts w:hint="eastAsia" w:ascii="宋体" w:hAnsi="宋体" w:eastAsia="宋体" w:cs="宋体"/>
          <w:i/>
          <w:iCs/>
          <w:color w:val="FF0000"/>
          <w:sz w:val="24"/>
          <w:szCs w:val="24"/>
          <w:u w:val="none"/>
          <w:lang w:val="en-US" w:eastAsia="zh-CN"/>
        </w:rPr>
        <w:t>如选择否，请提供《非面向中小企业采购说明》模板见附件，说明符合《政府采购促进中小企业发展管理办法》第六条中的哪一款，文件见国资处网站</w:t>
      </w:r>
      <w:r>
        <w:rPr>
          <w:rFonts w:hint="eastAsia" w:ascii="宋体" w:hAnsi="宋体" w:cs="宋体"/>
          <w:i/>
          <w:iCs/>
          <w:color w:val="FF0000"/>
          <w:sz w:val="24"/>
          <w:szCs w:val="24"/>
          <w:u w:val="none"/>
          <w:lang w:val="en-US" w:eastAsia="zh-CN"/>
        </w:rPr>
        <w:t>-</w:t>
      </w:r>
      <w:r>
        <w:rPr>
          <w:rFonts w:hint="eastAsia" w:ascii="宋体" w:hAnsi="宋体" w:eastAsia="宋体" w:cs="宋体"/>
          <w:i/>
          <w:iCs/>
          <w:color w:val="FF0000"/>
          <w:sz w:val="24"/>
          <w:szCs w:val="24"/>
          <w:u w:val="none"/>
          <w:lang w:val="en-US" w:eastAsia="zh-CN"/>
        </w:rPr>
        <w:t>规章制度</w:t>
      </w:r>
      <w:r>
        <w:rPr>
          <w:rFonts w:hint="eastAsia" w:ascii="宋体" w:hAnsi="宋体" w:cs="宋体"/>
          <w:i/>
          <w:iCs/>
          <w:color w:val="FF0000"/>
          <w:sz w:val="24"/>
          <w:szCs w:val="24"/>
          <w:u w:val="none"/>
          <w:lang w:val="en-US" w:eastAsia="zh-CN"/>
        </w:rPr>
        <w:t>/</w:t>
      </w:r>
      <w:r>
        <w:rPr>
          <w:rFonts w:hint="eastAsia" w:ascii="宋体" w:hAnsi="宋体" w:eastAsia="宋体" w:cs="宋体"/>
          <w:i/>
          <w:iCs/>
          <w:color w:val="FF0000"/>
          <w:sz w:val="24"/>
          <w:szCs w:val="24"/>
          <w:u w:val="none"/>
          <w:lang w:val="en-US" w:eastAsia="zh-CN"/>
        </w:rPr>
        <w:t>国家文件。</w:t>
      </w:r>
      <w:r>
        <w:rPr>
          <w:rFonts w:hint="eastAsia"/>
          <w:i/>
          <w:iCs/>
          <w:color w:val="FF0000"/>
          <w:sz w:val="24"/>
          <w:szCs w:val="24"/>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280" w:leftChars="0"/>
        <w:textAlignment w:val="auto"/>
        <w:rPr>
          <w:rFonts w:hint="eastAsia"/>
          <w:i w:val="0"/>
          <w:iCs w:val="0"/>
          <w:sz w:val="24"/>
          <w:szCs w:val="24"/>
          <w:u w:val="none"/>
          <w:lang w:val="en-US" w:eastAsia="zh-CN"/>
        </w:rPr>
      </w:pPr>
      <w:r>
        <w:rPr>
          <w:rFonts w:hint="eastAsia" w:ascii="Times New Roman" w:hAnsi="Times New Roman" w:eastAsia="宋体" w:cs="Times New Roman"/>
          <w:b w:val="0"/>
          <w:bCs w:val="0"/>
          <w:color w:val="auto"/>
          <w:sz w:val="24"/>
          <w:szCs w:val="24"/>
          <w:lang w:val="en-US" w:eastAsia="zh-CN"/>
        </w:rPr>
        <w:t>3、</w:t>
      </w:r>
      <w:r>
        <w:rPr>
          <w:rFonts w:hint="eastAsia"/>
          <w:b w:val="0"/>
          <w:bCs w:val="0"/>
          <w:color w:val="auto"/>
          <w:sz w:val="24"/>
          <w:szCs w:val="24"/>
          <w:lang w:val="en-US" w:eastAsia="zh-CN"/>
        </w:rPr>
        <w:t>是否有同类业绩要求（不超过2个）：</w:t>
      </w:r>
      <w:r>
        <w:rPr>
          <w:rFonts w:hint="eastAsia"/>
          <w:i w:val="0"/>
          <w:iCs w:val="0"/>
          <w:sz w:val="24"/>
          <w:szCs w:val="24"/>
          <w:u w:val="none"/>
          <w:lang w:val="en-US" w:eastAsia="zh-CN"/>
        </w:rPr>
        <w:sym w:font="Wingdings" w:char="00A8"/>
      </w:r>
      <w:r>
        <w:rPr>
          <w:rFonts w:hint="eastAsia"/>
          <w:i w:val="0"/>
          <w:iCs w:val="0"/>
          <w:sz w:val="24"/>
          <w:szCs w:val="24"/>
          <w:u w:val="none"/>
          <w:lang w:val="en-US" w:eastAsia="zh-CN"/>
        </w:rPr>
        <w:t xml:space="preserve">是   </w:t>
      </w:r>
      <w:r>
        <w:rPr>
          <w:rFonts w:hint="eastAsia"/>
          <w:i w:val="0"/>
          <w:iCs w:val="0"/>
          <w:sz w:val="24"/>
          <w:szCs w:val="24"/>
          <w:u w:val="none"/>
          <w:lang w:val="en-US" w:eastAsia="zh-CN"/>
        </w:rPr>
        <w:sym w:font="Wingdings" w:char="00A8"/>
      </w:r>
      <w:r>
        <w:rPr>
          <w:rFonts w:hint="eastAsia"/>
          <w:i w:val="0"/>
          <w:iCs w:val="0"/>
          <w:sz w:val="24"/>
          <w:szCs w:val="24"/>
          <w:u w:val="none"/>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280" w:leftChars="0"/>
        <w:textAlignment w:val="auto"/>
        <w:rPr>
          <w:rFonts w:hint="eastAsia"/>
          <w:b w:val="0"/>
          <w:bCs w:val="0"/>
          <w:color w:val="auto"/>
          <w:sz w:val="24"/>
          <w:szCs w:val="24"/>
          <w:lang w:val="en-US" w:eastAsia="zh-CN"/>
        </w:rPr>
      </w:pPr>
      <w:r>
        <w:rPr>
          <w:rFonts w:hint="eastAsia"/>
          <w:b w:val="0"/>
          <w:bCs w:val="0"/>
          <w:color w:val="auto"/>
          <w:sz w:val="24"/>
          <w:szCs w:val="24"/>
          <w:lang w:val="en-US" w:eastAsia="zh-CN"/>
        </w:rPr>
        <w:t>4、</w:t>
      </w:r>
      <w:r>
        <w:rPr>
          <w:rFonts w:hint="eastAsia" w:ascii="Times New Roman" w:hAnsi="Times New Roman" w:eastAsia="宋体" w:cs="Times New Roman"/>
          <w:b w:val="0"/>
          <w:bCs w:val="0"/>
          <w:color w:val="auto"/>
          <w:sz w:val="24"/>
          <w:szCs w:val="24"/>
          <w:lang w:val="en-US" w:eastAsia="zh-CN"/>
        </w:rPr>
        <w:t>是否接受联合体投标：</w:t>
      </w:r>
      <w:r>
        <w:rPr>
          <w:rFonts w:hint="eastAsia"/>
          <w:i w:val="0"/>
          <w:iCs w:val="0"/>
          <w:sz w:val="24"/>
          <w:szCs w:val="24"/>
          <w:u w:val="none"/>
          <w:lang w:val="en-US" w:eastAsia="zh-CN"/>
        </w:rPr>
        <w:sym w:font="Wingdings" w:char="00A8"/>
      </w:r>
      <w:r>
        <w:rPr>
          <w:rFonts w:hint="eastAsia"/>
          <w:i w:val="0"/>
          <w:iCs w:val="0"/>
          <w:sz w:val="24"/>
          <w:szCs w:val="24"/>
          <w:u w:val="none"/>
          <w:lang w:val="en-US" w:eastAsia="zh-CN"/>
        </w:rPr>
        <w:t xml:space="preserve">是   </w:t>
      </w:r>
      <w:r>
        <w:rPr>
          <w:rFonts w:hint="eastAsia"/>
          <w:i w:val="0"/>
          <w:iCs w:val="0"/>
          <w:sz w:val="24"/>
          <w:szCs w:val="24"/>
          <w:u w:val="none"/>
          <w:lang w:val="en-US" w:eastAsia="zh-CN"/>
        </w:rPr>
        <w:sym w:font="Wingdings" w:char="00A8"/>
      </w:r>
      <w:r>
        <w:rPr>
          <w:rFonts w:hint="eastAsia"/>
          <w:i w:val="0"/>
          <w:iCs w:val="0"/>
          <w:sz w:val="24"/>
          <w:szCs w:val="24"/>
          <w:u w:val="none"/>
          <w:lang w:val="en-US" w:eastAsia="zh-CN"/>
        </w:rPr>
        <w:t>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eastAsia="宋体"/>
          <w:b w:val="0"/>
          <w:bCs w:val="0"/>
          <w:i/>
          <w:iCs/>
          <w:color w:val="FF0000"/>
          <w:sz w:val="24"/>
          <w:szCs w:val="24"/>
          <w:lang w:val="en-US" w:eastAsia="zh-CN"/>
        </w:rPr>
      </w:pPr>
      <w:r>
        <w:rPr>
          <w:rFonts w:hint="eastAsia" w:ascii="Times New Roman" w:eastAsia="宋体"/>
          <w:b w:val="0"/>
          <w:bCs w:val="0"/>
          <w:i/>
          <w:iCs/>
          <w:color w:val="FF0000"/>
          <w:sz w:val="24"/>
          <w:szCs w:val="24"/>
          <w:lang w:val="en-US" w:eastAsia="zh-CN"/>
        </w:rPr>
        <w:t>（说明：以上4项内容是常规采购项目供应商资格要求，</w:t>
      </w:r>
      <w:r>
        <w:rPr>
          <w:rFonts w:hint="eastAsia" w:ascii="Times New Roman"/>
          <w:b w:val="0"/>
          <w:bCs w:val="0"/>
          <w:i/>
          <w:iCs/>
          <w:color w:val="FF0000"/>
          <w:sz w:val="24"/>
          <w:szCs w:val="24"/>
          <w:lang w:val="en-US" w:eastAsia="zh-CN"/>
        </w:rPr>
        <w:t>项目单位</w:t>
      </w:r>
      <w:r>
        <w:rPr>
          <w:rFonts w:hint="eastAsia" w:ascii="Times New Roman" w:eastAsia="宋体"/>
          <w:b w:val="0"/>
          <w:bCs w:val="0"/>
          <w:i/>
          <w:iCs/>
          <w:color w:val="FF0000"/>
          <w:sz w:val="24"/>
          <w:szCs w:val="24"/>
          <w:lang w:val="en-US" w:eastAsia="zh-CN"/>
        </w:rPr>
        <w:t>可根据项目特点补充资格要求，但不得对供应商资格设置或变相设置供应商规模、成立年限、地方区域限制等门槛，限制供应商参与招标采购活动；不得要求供应商在项目所在地或采购人所在地设立分公司、办事处等，请参考国资处网站</w:t>
      </w:r>
      <w:r>
        <w:rPr>
          <w:rFonts w:hint="eastAsia" w:ascii="Times New Roman"/>
          <w:b w:val="0"/>
          <w:bCs w:val="0"/>
          <w:i/>
          <w:iCs/>
          <w:color w:val="FF0000"/>
          <w:sz w:val="24"/>
          <w:szCs w:val="24"/>
          <w:lang w:val="en-US" w:eastAsia="zh-CN"/>
        </w:rPr>
        <w:t>-</w:t>
      </w:r>
      <w:r>
        <w:rPr>
          <w:rFonts w:hint="eastAsia" w:ascii="Times New Roman" w:eastAsia="宋体"/>
          <w:b w:val="0"/>
          <w:bCs w:val="0"/>
          <w:i/>
          <w:iCs/>
          <w:color w:val="FF0000"/>
          <w:sz w:val="24"/>
          <w:szCs w:val="24"/>
          <w:lang w:val="en-US" w:eastAsia="zh-CN"/>
        </w:rPr>
        <w:t>规章制度</w:t>
      </w:r>
      <w:r>
        <w:rPr>
          <w:rFonts w:hint="eastAsia" w:ascii="Times New Roman"/>
          <w:b w:val="0"/>
          <w:bCs w:val="0"/>
          <w:i/>
          <w:iCs/>
          <w:color w:val="FF0000"/>
          <w:sz w:val="24"/>
          <w:szCs w:val="24"/>
          <w:lang w:val="en-US" w:eastAsia="zh-CN"/>
        </w:rPr>
        <w:t>/</w:t>
      </w:r>
      <w:r>
        <w:rPr>
          <w:rFonts w:hint="eastAsia" w:ascii="Times New Roman" w:eastAsia="宋体"/>
          <w:b w:val="0"/>
          <w:bCs w:val="0"/>
          <w:i/>
          <w:iCs/>
          <w:color w:val="FF0000"/>
          <w:sz w:val="24"/>
          <w:szCs w:val="24"/>
          <w:lang w:val="en-US" w:eastAsia="zh-CN"/>
        </w:rPr>
        <w:t>省厅文件：《安徽省教育厅关于开展省属高校招标采购领域各类隐性门槛和不合理限制专项清理暨采购规范化建设专项调研的通知》皖教秘审〔2023〕10号 ）</w:t>
      </w:r>
    </w:p>
    <w:p>
      <w:pPr>
        <w:spacing w:line="360" w:lineRule="auto"/>
        <w:rPr>
          <w:rFonts w:hint="eastAsia" w:eastAsia="宋体"/>
          <w:b/>
          <w:bCs/>
          <w:sz w:val="28"/>
          <w:szCs w:val="28"/>
          <w:lang w:eastAsia="zh-CN"/>
        </w:rPr>
      </w:pPr>
      <w:r>
        <w:rPr>
          <w:rFonts w:hint="eastAsia"/>
          <w:b/>
          <w:bCs/>
          <w:sz w:val="28"/>
          <w:szCs w:val="28"/>
          <w:lang w:eastAsia="zh-CN"/>
        </w:rPr>
        <w:t>二</w:t>
      </w:r>
      <w:r>
        <w:rPr>
          <w:rFonts w:hint="eastAsia"/>
          <w:b/>
          <w:bCs/>
          <w:sz w:val="28"/>
          <w:szCs w:val="28"/>
        </w:rPr>
        <w:t>、履约保证金</w:t>
      </w:r>
      <w:r>
        <w:rPr>
          <w:rFonts w:hint="eastAsia"/>
          <w:b/>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color w:val="auto"/>
          <w:sz w:val="24"/>
          <w:szCs w:val="24"/>
          <w:lang w:val="en-US" w:eastAsia="zh-CN"/>
        </w:rPr>
      </w:pPr>
      <w:r>
        <w:rPr>
          <w:rFonts w:hint="eastAsia"/>
          <w:color w:val="auto"/>
          <w:sz w:val="24"/>
          <w:szCs w:val="24"/>
        </w:rPr>
        <w:t>签合同前收取中标价</w:t>
      </w:r>
      <w:r>
        <w:rPr>
          <w:rFonts w:hint="eastAsia"/>
          <w:color w:val="auto"/>
          <w:sz w:val="24"/>
          <w:szCs w:val="24"/>
          <w:lang w:val="en-US" w:eastAsia="zh-CN"/>
        </w:rPr>
        <w:t>2.</w:t>
      </w:r>
      <w:r>
        <w:rPr>
          <w:rFonts w:hint="eastAsia"/>
          <w:color w:val="auto"/>
          <w:sz w:val="24"/>
          <w:szCs w:val="24"/>
        </w:rPr>
        <w:t>5%作为履约保证金。履约保证金账户名：皖西学院；开户银行：中国农业银行股份有限公司六安解放路支行；帐号：12040301040014312</w:t>
      </w:r>
      <w:r>
        <w:rPr>
          <w:rFonts w:hint="eastAsia"/>
          <w:color w:val="auto"/>
          <w:sz w:val="24"/>
          <w:szCs w:val="24"/>
          <w:lang w:eastAsia="zh-CN"/>
        </w:rPr>
        <w:t>。履约保证金可以以支票、汇票、本票、保函或银行转账形式提供，与此有关的费用由中标人承担。</w:t>
      </w:r>
      <w:r>
        <w:rPr>
          <w:rFonts w:hint="eastAsia"/>
          <w:color w:val="auto"/>
          <w:sz w:val="24"/>
          <w:szCs w:val="24"/>
          <w:lang w:val="en-US" w:eastAsia="zh-CN"/>
        </w:rPr>
        <w:t>验收合格后，履行相关签批手续后退还。</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default"/>
          <w:i/>
          <w:iCs/>
          <w:color w:val="FF0000"/>
          <w:sz w:val="24"/>
          <w:szCs w:val="24"/>
          <w:lang w:val="en-US" w:eastAsia="zh-CN"/>
        </w:rPr>
      </w:pPr>
      <w:r>
        <w:rPr>
          <w:rFonts w:hint="eastAsia"/>
          <w:i/>
          <w:iCs/>
          <w:color w:val="FF0000"/>
          <w:sz w:val="24"/>
          <w:szCs w:val="24"/>
          <w:lang w:val="en-US" w:eastAsia="zh-CN"/>
        </w:rPr>
        <w:t>（说明：合同签订前要求供应商缴纳，确认到账后签订合同。）</w:t>
      </w:r>
    </w:p>
    <w:p>
      <w:pPr>
        <w:spacing w:line="360" w:lineRule="auto"/>
        <w:rPr>
          <w:rFonts w:hint="eastAsia"/>
          <w:b/>
          <w:bCs/>
          <w:sz w:val="28"/>
          <w:szCs w:val="28"/>
          <w:lang w:eastAsia="zh-CN"/>
        </w:rPr>
      </w:pPr>
      <w:r>
        <w:rPr>
          <w:rFonts w:hint="eastAsia"/>
          <w:b/>
          <w:bCs/>
          <w:sz w:val="28"/>
          <w:szCs w:val="28"/>
          <w:lang w:eastAsia="zh-CN"/>
        </w:rPr>
        <w:t>三</w:t>
      </w:r>
      <w:r>
        <w:rPr>
          <w:rFonts w:hint="eastAsia"/>
          <w:b/>
          <w:bCs/>
          <w:sz w:val="28"/>
          <w:szCs w:val="28"/>
        </w:rPr>
        <w:t>、质保期</w:t>
      </w:r>
      <w:r>
        <w:rPr>
          <w:rFonts w:hint="eastAsia"/>
          <w:b/>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color w:val="auto"/>
          <w:sz w:val="24"/>
          <w:szCs w:val="24"/>
        </w:rPr>
      </w:pPr>
      <w:r>
        <w:rPr>
          <w:rFonts w:hint="eastAsia" w:ascii="宋体" w:hAnsi="宋体"/>
          <w:color w:val="auto"/>
          <w:sz w:val="24"/>
          <w:szCs w:val="24"/>
        </w:rPr>
        <w:t>质保期最短为1年，若所投产品质保承诺超过1年，质保期按所投产品质保承诺时间计算。</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i/>
          <w:iCs/>
          <w:color w:val="FF0000"/>
          <w:sz w:val="24"/>
          <w:szCs w:val="24"/>
          <w:lang w:eastAsia="zh-CN"/>
        </w:rPr>
      </w:pPr>
      <w:r>
        <w:rPr>
          <w:rFonts w:hint="eastAsia" w:ascii="宋体" w:hAnsi="宋体"/>
          <w:i/>
          <w:iCs/>
          <w:color w:val="FF0000"/>
          <w:sz w:val="24"/>
          <w:szCs w:val="24"/>
          <w:lang w:eastAsia="zh-CN"/>
        </w:rPr>
        <w:t>（</w:t>
      </w:r>
      <w:r>
        <w:rPr>
          <w:rFonts w:hint="eastAsia" w:ascii="宋体" w:hAnsi="宋体"/>
          <w:i/>
          <w:iCs/>
          <w:color w:val="FF0000"/>
          <w:sz w:val="24"/>
          <w:szCs w:val="24"/>
          <w:lang w:val="en-US" w:eastAsia="zh-CN"/>
        </w:rPr>
        <w:t>说明：货物类、工程类一般需要提出，服务类不需要</w:t>
      </w:r>
      <w:r>
        <w:rPr>
          <w:rFonts w:hint="eastAsia" w:ascii="宋体" w:hAnsi="宋体"/>
          <w:i/>
          <w:iCs/>
          <w:color w:val="FF0000"/>
          <w:sz w:val="24"/>
          <w:szCs w:val="24"/>
          <w:lang w:eastAsia="zh-CN"/>
        </w:rPr>
        <w:t>）</w:t>
      </w:r>
    </w:p>
    <w:p>
      <w:pPr>
        <w:rPr>
          <w:rFonts w:hint="eastAsia" w:eastAsia="宋体"/>
          <w:b/>
          <w:bCs/>
          <w:sz w:val="28"/>
          <w:szCs w:val="28"/>
          <w:lang w:eastAsia="zh-CN"/>
        </w:rPr>
      </w:pPr>
      <w:r>
        <w:rPr>
          <w:rFonts w:hint="eastAsia"/>
          <w:b/>
          <w:bCs/>
          <w:sz w:val="28"/>
          <w:szCs w:val="28"/>
          <w:lang w:eastAsia="zh-CN"/>
        </w:rPr>
        <w:t>四</w:t>
      </w:r>
      <w:r>
        <w:rPr>
          <w:rFonts w:hint="eastAsia"/>
          <w:b/>
          <w:bCs/>
          <w:sz w:val="28"/>
          <w:szCs w:val="28"/>
        </w:rPr>
        <w:t>、工期</w:t>
      </w:r>
      <w:r>
        <w:rPr>
          <w:rFonts w:hint="eastAsia"/>
          <w:b/>
          <w:bCs/>
          <w:sz w:val="28"/>
          <w:szCs w:val="28"/>
          <w:lang w:eastAsia="zh-CN"/>
        </w:rPr>
        <w:t>：</w:t>
      </w:r>
    </w:p>
    <w:p>
      <w:pPr>
        <w:ind w:firstLine="480" w:firstLineChars="200"/>
        <w:rPr>
          <w:rFonts w:hint="eastAsia"/>
          <w:i w:val="0"/>
          <w:iCs w:val="0"/>
          <w:sz w:val="24"/>
          <w:szCs w:val="24"/>
          <w:u w:val="none"/>
          <w:lang w:val="en-US" w:eastAsia="zh-CN"/>
        </w:rPr>
      </w:pPr>
      <w:r>
        <w:rPr>
          <w:rFonts w:hint="eastAsia"/>
          <w:i w:val="0"/>
          <w:iCs w:val="0"/>
          <w:sz w:val="24"/>
          <w:szCs w:val="24"/>
          <w:u w:val="none"/>
          <w:lang w:val="en-US" w:eastAsia="zh-CN"/>
        </w:rPr>
        <w:t>货物类供货安装期：</w:t>
      </w:r>
      <w:r>
        <w:rPr>
          <w:rFonts w:hint="eastAsia"/>
          <w:i w:val="0"/>
          <w:iCs w:val="0"/>
          <w:sz w:val="24"/>
          <w:szCs w:val="24"/>
          <w:u w:val="none"/>
          <w:lang w:val="en-US" w:eastAsia="zh-CN"/>
        </w:rPr>
        <w:sym w:font="Wingdings" w:char="00A8"/>
      </w:r>
      <w:r>
        <w:rPr>
          <w:rFonts w:hint="eastAsia"/>
          <w:sz w:val="24"/>
          <w:szCs w:val="24"/>
        </w:rPr>
        <w:t>国产设备30天</w:t>
      </w:r>
      <w:r>
        <w:rPr>
          <w:rFonts w:hint="eastAsia"/>
          <w:sz w:val="24"/>
          <w:szCs w:val="24"/>
          <w:lang w:val="en-US" w:eastAsia="zh-CN"/>
        </w:rPr>
        <w:t xml:space="preserve">  </w:t>
      </w:r>
      <w:r>
        <w:rPr>
          <w:rFonts w:hint="eastAsia"/>
          <w:i w:val="0"/>
          <w:iCs w:val="0"/>
          <w:sz w:val="24"/>
          <w:szCs w:val="24"/>
          <w:u w:val="none"/>
          <w:lang w:val="en-US" w:eastAsia="zh-CN"/>
        </w:rPr>
        <w:sym w:font="Wingdings" w:char="00A8"/>
      </w:r>
      <w:r>
        <w:rPr>
          <w:rFonts w:hint="eastAsia"/>
          <w:sz w:val="24"/>
          <w:szCs w:val="24"/>
        </w:rPr>
        <w:t>进口设备90天</w:t>
      </w:r>
      <w:r>
        <w:rPr>
          <w:rFonts w:hint="eastAsia"/>
          <w:sz w:val="24"/>
          <w:szCs w:val="24"/>
          <w:lang w:val="en-US" w:eastAsia="zh-CN"/>
        </w:rPr>
        <w:t xml:space="preserve">  </w:t>
      </w:r>
      <w:r>
        <w:rPr>
          <w:rFonts w:hint="eastAsia"/>
          <w:i w:val="0"/>
          <w:iCs w:val="0"/>
          <w:sz w:val="24"/>
          <w:szCs w:val="24"/>
          <w:u w:val="none"/>
          <w:lang w:val="en-US" w:eastAsia="zh-CN"/>
        </w:rPr>
        <w:sym w:font="Wingdings" w:char="00A8"/>
      </w:r>
      <w:r>
        <w:rPr>
          <w:rFonts w:hint="eastAsia"/>
          <w:i w:val="0"/>
          <w:iCs w:val="0"/>
          <w:sz w:val="24"/>
          <w:szCs w:val="24"/>
          <w:u w:val="none"/>
          <w:lang w:val="en-US" w:eastAsia="zh-CN"/>
        </w:rPr>
        <w:t>其他：</w:t>
      </w:r>
      <w:r>
        <w:rPr>
          <w:rFonts w:hint="eastAsia"/>
          <w:i w:val="0"/>
          <w:iCs w:val="0"/>
          <w:sz w:val="24"/>
          <w:szCs w:val="24"/>
          <w:u w:val="single"/>
          <w:lang w:val="en-US" w:eastAsia="zh-CN"/>
        </w:rPr>
        <w:t xml:space="preserve">                   </w:t>
      </w:r>
      <w:r>
        <w:rPr>
          <w:rFonts w:hint="eastAsia"/>
          <w:i w:val="0"/>
          <w:iCs w:val="0"/>
          <w:sz w:val="24"/>
          <w:szCs w:val="24"/>
          <w:u w:val="none"/>
          <w:lang w:val="en-US" w:eastAsia="zh-CN"/>
        </w:rPr>
        <w:t>。</w:t>
      </w:r>
    </w:p>
    <w:p>
      <w:pPr>
        <w:ind w:firstLine="480" w:firstLineChars="200"/>
        <w:rPr>
          <w:rFonts w:hint="eastAsia"/>
          <w:i w:val="0"/>
          <w:iCs w:val="0"/>
          <w:sz w:val="24"/>
          <w:szCs w:val="24"/>
          <w:u w:val="single"/>
          <w:lang w:val="en-US" w:eastAsia="zh-CN"/>
        </w:rPr>
      </w:pPr>
      <w:r>
        <w:rPr>
          <w:rFonts w:hint="eastAsia"/>
          <w:i w:val="0"/>
          <w:iCs w:val="0"/>
          <w:sz w:val="24"/>
          <w:szCs w:val="24"/>
          <w:u w:val="none"/>
          <w:lang w:val="en-US" w:eastAsia="zh-CN"/>
        </w:rPr>
        <w:t>工程类工期：</w:t>
      </w:r>
      <w:r>
        <w:rPr>
          <w:rFonts w:hint="eastAsia"/>
          <w:i w:val="0"/>
          <w:iCs w:val="0"/>
          <w:sz w:val="24"/>
          <w:szCs w:val="24"/>
          <w:u w:val="single"/>
          <w:lang w:val="en-US" w:eastAsia="zh-CN"/>
        </w:rPr>
        <w:t xml:space="preserve">                       </w:t>
      </w:r>
      <w:r>
        <w:rPr>
          <w:rFonts w:hint="eastAsia"/>
          <w:i w:val="0"/>
          <w:iCs w:val="0"/>
          <w:sz w:val="24"/>
          <w:szCs w:val="24"/>
          <w:u w:val="none"/>
          <w:lang w:val="en-US" w:eastAsia="zh-CN"/>
        </w:rPr>
        <w:t>。</w:t>
      </w:r>
    </w:p>
    <w:p>
      <w:pPr>
        <w:ind w:firstLine="480" w:firstLineChars="200"/>
        <w:rPr>
          <w:rFonts w:hint="default"/>
          <w:i w:val="0"/>
          <w:iCs w:val="0"/>
          <w:sz w:val="24"/>
          <w:szCs w:val="24"/>
          <w:u w:val="single"/>
          <w:lang w:val="en-US" w:eastAsia="zh-CN"/>
        </w:rPr>
      </w:pPr>
      <w:r>
        <w:rPr>
          <w:rFonts w:hint="eastAsia"/>
          <w:i w:val="0"/>
          <w:iCs w:val="0"/>
          <w:sz w:val="24"/>
          <w:szCs w:val="24"/>
          <w:u w:val="none"/>
          <w:lang w:val="en-US" w:eastAsia="zh-CN"/>
        </w:rPr>
        <w:t>服务类服务期：</w:t>
      </w:r>
      <w:r>
        <w:rPr>
          <w:rFonts w:hint="eastAsia"/>
          <w:i w:val="0"/>
          <w:iCs w:val="0"/>
          <w:sz w:val="24"/>
          <w:szCs w:val="24"/>
          <w:u w:val="single"/>
          <w:lang w:val="en-US" w:eastAsia="zh-CN"/>
        </w:rPr>
        <w:t xml:space="preserve">                     </w:t>
      </w:r>
      <w:r>
        <w:rPr>
          <w:rFonts w:hint="eastAsia"/>
          <w:i w:val="0"/>
          <w:iCs w:val="0"/>
          <w:sz w:val="24"/>
          <w:szCs w:val="24"/>
          <w:u w:val="none"/>
          <w:lang w:val="en-US" w:eastAsia="zh-CN"/>
        </w:rPr>
        <w:t>。</w:t>
      </w:r>
    </w:p>
    <w:p>
      <w:pPr>
        <w:ind w:firstLine="480" w:firstLineChars="200"/>
        <w:rPr>
          <w:rFonts w:hint="eastAsia"/>
          <w:b w:val="0"/>
          <w:bCs w:val="0"/>
          <w:i/>
          <w:iCs/>
          <w:color w:val="FF0000"/>
          <w:sz w:val="24"/>
          <w:szCs w:val="24"/>
          <w:lang w:eastAsia="zh-CN"/>
        </w:rPr>
      </w:pPr>
      <w:r>
        <w:rPr>
          <w:rFonts w:hint="eastAsia"/>
          <w:b w:val="0"/>
          <w:bCs w:val="0"/>
          <w:i/>
          <w:iCs/>
          <w:color w:val="FF0000"/>
          <w:sz w:val="24"/>
          <w:szCs w:val="24"/>
          <w:lang w:eastAsia="zh-CN"/>
        </w:rPr>
        <w:t>（</w:t>
      </w:r>
      <w:r>
        <w:rPr>
          <w:rFonts w:hint="eastAsia"/>
          <w:b w:val="0"/>
          <w:bCs w:val="0"/>
          <w:i/>
          <w:iCs/>
          <w:color w:val="FF0000"/>
          <w:sz w:val="24"/>
          <w:szCs w:val="24"/>
          <w:lang w:val="en-US" w:eastAsia="zh-CN"/>
        </w:rPr>
        <w:t>说明：货物类产品填写供货安装期时应充分调研，合理确定产品的供货安装时间。工程类工期应在确保工程质量前提下确定。</w:t>
      </w:r>
      <w:r>
        <w:rPr>
          <w:rFonts w:hint="eastAsia"/>
          <w:b w:val="0"/>
          <w:bCs w:val="0"/>
          <w:i/>
          <w:iCs/>
          <w:color w:val="FF0000"/>
          <w:sz w:val="24"/>
          <w:szCs w:val="24"/>
          <w:lang w:eastAsia="zh-CN"/>
        </w:rPr>
        <w:t>）</w:t>
      </w:r>
    </w:p>
    <w:p>
      <w:pPr>
        <w:rPr>
          <w:rFonts w:hint="eastAsia" w:eastAsia="宋体"/>
          <w:b/>
          <w:bCs/>
          <w:sz w:val="28"/>
          <w:szCs w:val="28"/>
          <w:lang w:eastAsia="zh-CN"/>
        </w:rPr>
      </w:pPr>
      <w:r>
        <w:rPr>
          <w:rFonts w:hint="eastAsia"/>
          <w:b/>
          <w:bCs/>
          <w:sz w:val="28"/>
          <w:szCs w:val="28"/>
          <w:lang w:eastAsia="zh-CN"/>
        </w:rPr>
        <w:t>五</w:t>
      </w:r>
      <w:r>
        <w:rPr>
          <w:rFonts w:hint="eastAsia"/>
          <w:b/>
          <w:bCs/>
          <w:sz w:val="28"/>
          <w:szCs w:val="28"/>
        </w:rPr>
        <w:t>、付款方式</w:t>
      </w:r>
      <w:r>
        <w:rPr>
          <w:rFonts w:hint="eastAsia"/>
          <w:b/>
          <w:bCs/>
          <w:sz w:val="28"/>
          <w:szCs w:val="28"/>
          <w:lang w:eastAsia="zh-CN"/>
        </w:rPr>
        <w:t>：</w:t>
      </w:r>
    </w:p>
    <w:p>
      <w:pPr>
        <w:spacing w:line="360" w:lineRule="auto"/>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lang w:val="en-US" w:eastAsia="zh-CN"/>
        </w:rPr>
        <w:sym w:font="Wingdings" w:char="00A8"/>
      </w:r>
      <w:r>
        <w:rPr>
          <w:rFonts w:hint="eastAsia" w:ascii="宋体" w:hAnsi="宋体" w:eastAsia="宋体" w:cs="Times New Roman"/>
          <w:color w:val="auto"/>
          <w:sz w:val="24"/>
          <w:szCs w:val="24"/>
        </w:rPr>
        <w:t>验收合格后，</w:t>
      </w:r>
      <w:r>
        <w:rPr>
          <w:rFonts w:hint="eastAsia" w:ascii="宋体" w:hAnsi="宋体" w:eastAsia="宋体" w:cs="Times New Roman"/>
          <w:color w:val="auto"/>
          <w:sz w:val="24"/>
          <w:szCs w:val="24"/>
          <w:lang w:eastAsia="zh-CN"/>
        </w:rPr>
        <w:t>中标（</w:t>
      </w:r>
      <w:r>
        <w:rPr>
          <w:rFonts w:hint="eastAsia" w:ascii="宋体" w:hAnsi="宋体" w:eastAsia="宋体" w:cs="Times New Roman"/>
          <w:color w:val="auto"/>
          <w:sz w:val="24"/>
          <w:szCs w:val="24"/>
          <w:lang w:val="en-US" w:eastAsia="zh-CN"/>
        </w:rPr>
        <w:t>成交）</w:t>
      </w:r>
      <w:r>
        <w:rPr>
          <w:rFonts w:hint="eastAsia" w:ascii="宋体" w:hAnsi="宋体" w:eastAsia="宋体" w:cs="Times New Roman"/>
          <w:color w:val="auto"/>
          <w:sz w:val="24"/>
          <w:szCs w:val="24"/>
          <w:lang w:eastAsia="zh-CN"/>
        </w:rPr>
        <w:t>人提供</w:t>
      </w:r>
      <w:r>
        <w:rPr>
          <w:rFonts w:hint="eastAsia" w:ascii="宋体" w:hAnsi="宋体" w:eastAsia="宋体" w:cs="Times New Roman"/>
          <w:color w:val="auto"/>
          <w:sz w:val="24"/>
          <w:szCs w:val="24"/>
        </w:rPr>
        <w:t>合同、验收报告、发票原件等</w:t>
      </w:r>
      <w:r>
        <w:rPr>
          <w:rFonts w:hint="eastAsia" w:ascii="宋体" w:hAnsi="宋体" w:eastAsia="宋体" w:cs="Times New Roman"/>
          <w:color w:val="auto"/>
          <w:sz w:val="24"/>
          <w:szCs w:val="24"/>
          <w:lang w:eastAsia="zh-CN"/>
        </w:rPr>
        <w:t>材料，</w:t>
      </w:r>
      <w:r>
        <w:rPr>
          <w:rFonts w:hint="eastAsia" w:ascii="宋体" w:hAnsi="宋体" w:eastAsia="宋体" w:cs="Times New Roman"/>
          <w:color w:val="auto"/>
          <w:sz w:val="24"/>
          <w:szCs w:val="24"/>
        </w:rPr>
        <w:t>经财</w:t>
      </w:r>
      <w:r>
        <w:rPr>
          <w:rFonts w:hint="eastAsia" w:ascii="宋体" w:hAnsi="宋体" w:eastAsia="宋体" w:cs="Times New Roman"/>
          <w:color w:val="auto"/>
          <w:sz w:val="24"/>
          <w:szCs w:val="24"/>
          <w:lang w:eastAsia="zh-CN"/>
        </w:rPr>
        <w:t>务</w:t>
      </w:r>
      <w:r>
        <w:rPr>
          <w:rFonts w:hint="eastAsia" w:ascii="宋体" w:hAnsi="宋体" w:eastAsia="宋体" w:cs="Times New Roman"/>
          <w:color w:val="auto"/>
          <w:sz w:val="24"/>
          <w:szCs w:val="24"/>
        </w:rPr>
        <w:t>部门审核后，向中标</w:t>
      </w:r>
      <w:r>
        <w:rPr>
          <w:rFonts w:hint="eastAsia" w:ascii="宋体" w:hAnsi="宋体" w:eastAsia="宋体" w:cs="Times New Roman"/>
          <w:color w:val="auto"/>
          <w:sz w:val="24"/>
          <w:szCs w:val="24"/>
          <w:lang w:eastAsia="zh-CN"/>
        </w:rPr>
        <w:t>（</w:t>
      </w:r>
      <w:r>
        <w:rPr>
          <w:rFonts w:hint="eastAsia" w:ascii="宋体" w:hAnsi="宋体" w:eastAsia="宋体" w:cs="Times New Roman"/>
          <w:color w:val="auto"/>
          <w:sz w:val="24"/>
          <w:szCs w:val="24"/>
          <w:lang w:val="en-US" w:eastAsia="zh-CN"/>
        </w:rPr>
        <w:t>成交）</w:t>
      </w:r>
      <w:r>
        <w:rPr>
          <w:rFonts w:hint="eastAsia" w:ascii="宋体" w:hAnsi="宋体" w:eastAsia="宋体" w:cs="Times New Roman"/>
          <w:color w:val="auto"/>
          <w:sz w:val="24"/>
          <w:szCs w:val="24"/>
        </w:rPr>
        <w:t>人支付合同价全款。</w:t>
      </w:r>
    </w:p>
    <w:p>
      <w:pPr>
        <w:spacing w:line="360" w:lineRule="auto"/>
        <w:ind w:firstLine="480" w:firstLineChars="200"/>
        <w:rPr>
          <w:rFonts w:hint="eastAsia" w:ascii="宋体" w:hAnsi="宋体" w:eastAsia="宋体" w:cs="Times New Roman"/>
          <w:color w:val="auto"/>
          <w:sz w:val="24"/>
          <w:szCs w:val="24"/>
          <w:lang w:eastAsia="zh-CN"/>
        </w:rPr>
      </w:pPr>
      <w:r>
        <w:rPr>
          <w:rFonts w:hint="eastAsia" w:ascii="宋体" w:hAnsi="宋体" w:eastAsia="宋体" w:cs="Times New Roman"/>
          <w:color w:val="auto"/>
          <w:sz w:val="24"/>
          <w:szCs w:val="24"/>
          <w:lang w:val="en-US" w:eastAsia="zh-CN"/>
        </w:rPr>
        <w:sym w:font="Wingdings" w:char="00A8"/>
      </w:r>
      <w:r>
        <w:rPr>
          <w:rFonts w:hint="eastAsia" w:ascii="宋体" w:hAnsi="宋体" w:eastAsia="宋体" w:cs="Times New Roman"/>
          <w:color w:val="auto"/>
          <w:sz w:val="24"/>
          <w:szCs w:val="24"/>
        </w:rPr>
        <w:t>合同签订后，向乙方预付合同价款的</w:t>
      </w:r>
      <w:r>
        <w:rPr>
          <w:rFonts w:hint="eastAsia" w:ascii="宋体" w:hAnsi="宋体" w:eastAsia="宋体" w:cs="Times New Roman"/>
          <w:color w:val="auto"/>
          <w:sz w:val="24"/>
          <w:szCs w:val="24"/>
          <w:u w:val="single"/>
          <w:lang w:val="en-US" w:eastAsia="zh-CN"/>
        </w:rPr>
        <w:t xml:space="preserve">    </w:t>
      </w:r>
      <w:r>
        <w:rPr>
          <w:rFonts w:hint="eastAsia" w:ascii="宋体" w:hAnsi="宋体" w:eastAsia="宋体" w:cs="Times New Roman"/>
          <w:color w:val="auto"/>
          <w:sz w:val="24"/>
          <w:szCs w:val="24"/>
        </w:rPr>
        <w:t>%</w:t>
      </w:r>
      <w:r>
        <w:rPr>
          <w:rFonts w:hint="eastAsia" w:ascii="宋体" w:hAnsi="宋体" w:eastAsia="宋体" w:cs="Times New Roman"/>
          <w:color w:val="auto"/>
          <w:sz w:val="24"/>
          <w:szCs w:val="24"/>
          <w:lang w:eastAsia="zh-CN"/>
        </w:rPr>
        <w:t>（</w:t>
      </w:r>
      <w:r>
        <w:rPr>
          <w:rFonts w:hint="eastAsia" w:ascii="宋体" w:hAnsi="宋体" w:eastAsia="宋体" w:cs="Times New Roman"/>
          <w:color w:val="auto"/>
          <w:sz w:val="24"/>
          <w:szCs w:val="24"/>
          <w:lang w:val="en-US" w:eastAsia="zh-CN"/>
        </w:rPr>
        <w:t>40%-70%</w:t>
      </w:r>
      <w:r>
        <w:rPr>
          <w:rFonts w:hint="eastAsia" w:ascii="宋体" w:hAnsi="宋体" w:eastAsia="宋体" w:cs="Times New Roman"/>
          <w:color w:val="auto"/>
          <w:sz w:val="24"/>
          <w:szCs w:val="24"/>
          <w:lang w:eastAsia="zh-CN"/>
        </w:rPr>
        <w:t>）</w:t>
      </w:r>
      <w:r>
        <w:rPr>
          <w:rFonts w:hint="eastAsia" w:ascii="宋体" w:hAnsi="宋体" w:eastAsia="宋体" w:cs="Times New Roman"/>
          <w:color w:val="auto"/>
          <w:sz w:val="24"/>
          <w:szCs w:val="24"/>
        </w:rPr>
        <w:t>，乙方须提交银行、保险公司、担保公司等金融机构出具的预付款保函或其他担保措施（以上各类机构出具的以担保函、保证保险承担责任的方式均须满足无条件见索即付条件）</w:t>
      </w:r>
      <w:r>
        <w:rPr>
          <w:rFonts w:hint="eastAsia" w:ascii="宋体" w:hAnsi="宋体" w:cs="Times New Roman"/>
          <w:color w:val="auto"/>
          <w:sz w:val="24"/>
          <w:szCs w:val="24"/>
          <w:lang w:eastAsia="zh-CN"/>
        </w:rPr>
        <w:t>，</w:t>
      </w:r>
      <w:r>
        <w:rPr>
          <w:rFonts w:hint="eastAsia" w:ascii="宋体" w:hAnsi="宋体" w:cs="Times New Roman"/>
          <w:color w:val="auto"/>
          <w:sz w:val="24"/>
          <w:szCs w:val="24"/>
          <w:lang w:val="en-US" w:eastAsia="zh-CN"/>
        </w:rPr>
        <w:t>保函可以电子保函形式提交</w:t>
      </w:r>
      <w:r>
        <w:rPr>
          <w:rFonts w:hint="eastAsia" w:ascii="宋体" w:hAnsi="宋体" w:eastAsia="宋体" w:cs="Times New Roman"/>
          <w:color w:val="auto"/>
          <w:sz w:val="24"/>
          <w:szCs w:val="24"/>
        </w:rPr>
        <w:t>。预付款应在合同、担保措施生效以及具备实施条件后5个工作日内支付。验收合格后，乙方提供合同、验收报告、发票原件等材料，经甲方财务部门审核后，向乙方支付合同余款。</w:t>
      </w:r>
      <w:r>
        <w:rPr>
          <w:rFonts w:hint="eastAsia" w:ascii="宋体" w:hAnsi="宋体" w:eastAsia="宋体" w:cs="Times New Roman"/>
          <w:i/>
          <w:iCs/>
          <w:color w:val="auto"/>
          <w:sz w:val="24"/>
          <w:szCs w:val="24"/>
        </w:rPr>
        <w:t xml:space="preserve"> </w:t>
      </w:r>
      <w:r>
        <w:rPr>
          <w:rFonts w:hint="eastAsia" w:ascii="宋体" w:hAnsi="宋体" w:eastAsia="宋体" w:cs="Times New Roman"/>
          <w:i/>
          <w:iCs/>
          <w:color w:val="FF0000"/>
          <w:sz w:val="24"/>
          <w:szCs w:val="24"/>
          <w:lang w:eastAsia="zh-CN"/>
        </w:rPr>
        <w:t>（</w:t>
      </w:r>
      <w:r>
        <w:rPr>
          <w:rFonts w:hint="eastAsia" w:ascii="宋体" w:hAnsi="宋体" w:eastAsia="宋体" w:cs="Times New Roman"/>
          <w:i/>
          <w:iCs/>
          <w:color w:val="FF0000"/>
          <w:sz w:val="24"/>
          <w:szCs w:val="24"/>
          <w:lang w:val="en-US" w:eastAsia="zh-CN"/>
        </w:rPr>
        <w:t>面向中小企业项目必须选此种支付方式，非面向中小企业项目建议选此种支付方式。</w:t>
      </w:r>
      <w:r>
        <w:rPr>
          <w:rFonts w:hint="eastAsia" w:ascii="宋体" w:hAnsi="宋体" w:eastAsia="宋体" w:cs="Times New Roman"/>
          <w:i/>
          <w:iCs/>
          <w:color w:val="FF0000"/>
          <w:sz w:val="24"/>
          <w:szCs w:val="24"/>
          <w:lang w:eastAsia="zh-CN"/>
        </w:rPr>
        <w:t>）</w:t>
      </w:r>
    </w:p>
    <w:p>
      <w:pPr>
        <w:spacing w:line="360" w:lineRule="auto"/>
        <w:ind w:firstLine="480" w:firstLineChars="200"/>
        <w:rPr>
          <w:rFonts w:hint="default" w:ascii="宋体" w:hAnsi="宋体" w:eastAsia="宋体" w:cs="Times New Roman"/>
          <w:color w:val="auto"/>
          <w:sz w:val="24"/>
          <w:szCs w:val="24"/>
          <w:u w:val="none"/>
          <w:lang w:val="en-US"/>
        </w:rPr>
      </w:pPr>
      <w:r>
        <w:rPr>
          <w:rFonts w:hint="eastAsia" w:ascii="宋体" w:hAnsi="宋体" w:eastAsia="宋体" w:cs="Times New Roman"/>
          <w:color w:val="auto"/>
          <w:sz w:val="24"/>
          <w:szCs w:val="24"/>
          <w:lang w:val="en-US" w:eastAsia="zh-CN"/>
        </w:rPr>
        <w:sym w:font="Wingdings" w:char="00A8"/>
      </w:r>
      <w:r>
        <w:rPr>
          <w:rFonts w:hint="eastAsia" w:ascii="宋体" w:hAnsi="宋体" w:eastAsia="宋体" w:cs="Times New Roman"/>
          <w:color w:val="auto"/>
          <w:sz w:val="24"/>
          <w:szCs w:val="24"/>
          <w:lang w:val="en-US" w:eastAsia="zh-CN"/>
        </w:rPr>
        <w:t>其他：</w:t>
      </w:r>
      <w:r>
        <w:rPr>
          <w:rFonts w:hint="eastAsia" w:ascii="宋体" w:hAnsi="宋体" w:eastAsia="宋体" w:cs="Times New Roman"/>
          <w:i/>
          <w:iCs/>
          <w:color w:val="FF0000"/>
          <w:sz w:val="24"/>
          <w:szCs w:val="24"/>
          <w:lang w:val="en-US" w:eastAsia="zh-CN"/>
        </w:rPr>
        <w:t>（</w:t>
      </w:r>
      <w:r>
        <w:rPr>
          <w:rFonts w:hint="eastAsia" w:ascii="宋体" w:hAnsi="宋体" w:eastAsia="宋体" w:cs="Times New Roman"/>
          <w:i/>
          <w:iCs/>
          <w:color w:val="FF0000"/>
          <w:sz w:val="24"/>
          <w:szCs w:val="24"/>
          <w:u w:val="single"/>
          <w:lang w:val="en-US" w:eastAsia="zh-CN"/>
        </w:rPr>
        <w:t>如以上两种方式都不适用，请在符合政策要求的前提下，结合采购内容自行拟定</w:t>
      </w:r>
      <w:r>
        <w:rPr>
          <w:rFonts w:hint="eastAsia" w:ascii="宋体" w:hAnsi="宋体" w:eastAsia="宋体" w:cs="Times New Roman"/>
          <w:i/>
          <w:iCs/>
          <w:color w:val="FF0000"/>
          <w:sz w:val="24"/>
          <w:szCs w:val="24"/>
          <w:lang w:val="en-US" w:eastAsia="zh-CN"/>
        </w:rPr>
        <w:t>）</w:t>
      </w:r>
      <w:r>
        <w:rPr>
          <w:rFonts w:hint="eastAsia" w:ascii="宋体" w:hAnsi="宋体" w:eastAsia="宋体" w:cs="Times New Roman"/>
          <w:color w:val="auto"/>
          <w:sz w:val="24"/>
          <w:szCs w:val="24"/>
          <w:u w:val="none"/>
          <w:lang w:val="en-US" w:eastAsia="zh-CN"/>
        </w:rPr>
        <w:t>。</w:t>
      </w:r>
    </w:p>
    <w:p>
      <w:pPr>
        <w:rPr>
          <w:rFonts w:hint="eastAsia" w:eastAsia="宋体"/>
          <w:b/>
          <w:bCs/>
          <w:sz w:val="28"/>
          <w:szCs w:val="28"/>
          <w:lang w:eastAsia="zh-CN"/>
        </w:rPr>
      </w:pPr>
      <w:r>
        <w:rPr>
          <w:rFonts w:hint="eastAsia"/>
          <w:b/>
          <w:bCs/>
          <w:sz w:val="28"/>
          <w:szCs w:val="28"/>
          <w:lang w:eastAsia="zh-CN"/>
        </w:rPr>
        <w:t>六</w:t>
      </w:r>
      <w:r>
        <w:rPr>
          <w:rFonts w:hint="eastAsia"/>
          <w:b/>
          <w:bCs/>
          <w:sz w:val="28"/>
          <w:szCs w:val="28"/>
        </w:rPr>
        <w:t>、采购单位联系人及联系方式</w:t>
      </w:r>
      <w:r>
        <w:rPr>
          <w:rFonts w:hint="eastAsia"/>
          <w:b/>
          <w:bCs/>
          <w:sz w:val="28"/>
          <w:szCs w:val="28"/>
          <w:lang w:eastAsia="zh-CN"/>
        </w:rPr>
        <w:t>：</w:t>
      </w:r>
    </w:p>
    <w:p>
      <w:pPr>
        <w:rPr>
          <w:rFonts w:hint="eastAsia"/>
          <w:b/>
          <w:bCs/>
          <w:sz w:val="28"/>
          <w:szCs w:val="28"/>
          <w:lang w:eastAsia="zh-CN"/>
        </w:rPr>
      </w:pPr>
      <w:r>
        <w:rPr>
          <w:rFonts w:hint="eastAsia"/>
          <w:b w:val="0"/>
          <w:bCs w:val="0"/>
          <w:sz w:val="24"/>
          <w:szCs w:val="24"/>
          <w:lang w:val="en-US" w:eastAsia="zh-CN"/>
        </w:rPr>
        <w:t xml:space="preserve">    联系人：</w:t>
      </w:r>
      <w:r>
        <w:rPr>
          <w:rFonts w:hint="eastAsia"/>
          <w:b w:val="0"/>
          <w:bCs w:val="0"/>
          <w:sz w:val="24"/>
          <w:szCs w:val="24"/>
          <w:u w:val="single"/>
          <w:lang w:val="en-US" w:eastAsia="zh-CN"/>
        </w:rPr>
        <w:t xml:space="preserve">           </w:t>
      </w:r>
      <w:r>
        <w:rPr>
          <w:rFonts w:hint="eastAsia"/>
          <w:b w:val="0"/>
          <w:bCs w:val="0"/>
          <w:sz w:val="24"/>
          <w:szCs w:val="24"/>
          <w:u w:val="none"/>
          <w:lang w:val="en-US" w:eastAsia="zh-CN"/>
        </w:rPr>
        <w:t>；</w:t>
      </w:r>
      <w:r>
        <w:rPr>
          <w:rFonts w:hint="eastAsia"/>
          <w:b w:val="0"/>
          <w:bCs w:val="0"/>
          <w:sz w:val="24"/>
          <w:szCs w:val="24"/>
          <w:lang w:val="en-US" w:eastAsia="zh-CN"/>
        </w:rPr>
        <w:t>办公电话：</w:t>
      </w:r>
      <w:r>
        <w:rPr>
          <w:rFonts w:hint="eastAsia"/>
          <w:b w:val="0"/>
          <w:bCs w:val="0"/>
          <w:sz w:val="24"/>
          <w:szCs w:val="24"/>
          <w:u w:val="single"/>
          <w:lang w:val="en-US" w:eastAsia="zh-CN"/>
        </w:rPr>
        <w:t xml:space="preserve">             </w:t>
      </w:r>
      <w:r>
        <w:rPr>
          <w:rFonts w:hint="eastAsia"/>
          <w:b w:val="0"/>
          <w:bCs w:val="0"/>
          <w:sz w:val="24"/>
          <w:szCs w:val="24"/>
          <w:u w:val="none"/>
          <w:lang w:val="en-US" w:eastAsia="zh-CN"/>
        </w:rPr>
        <w:t>；手机：</w:t>
      </w:r>
      <w:r>
        <w:rPr>
          <w:rFonts w:hint="eastAsia"/>
          <w:b w:val="0"/>
          <w:bCs w:val="0"/>
          <w:sz w:val="24"/>
          <w:szCs w:val="24"/>
          <w:u w:val="single"/>
          <w:lang w:val="en-US" w:eastAsia="zh-CN"/>
        </w:rPr>
        <w:t xml:space="preserve">             </w:t>
      </w:r>
      <w:r>
        <w:rPr>
          <w:rFonts w:hint="eastAsia"/>
          <w:b w:val="0"/>
          <w:bCs w:val="0"/>
          <w:sz w:val="24"/>
          <w:szCs w:val="24"/>
          <w:u w:val="none"/>
          <w:lang w:val="en-US" w:eastAsia="zh-CN"/>
        </w:rPr>
        <w:t>。</w:t>
      </w:r>
    </w:p>
    <w:p>
      <w:pPr>
        <w:rPr>
          <w:rFonts w:hint="eastAsia" w:eastAsia="宋体"/>
          <w:sz w:val="28"/>
          <w:szCs w:val="28"/>
          <w:lang w:eastAsia="zh-CN"/>
        </w:rPr>
      </w:pPr>
      <w:r>
        <w:rPr>
          <w:rFonts w:hint="eastAsia"/>
          <w:b/>
          <w:bCs/>
          <w:sz w:val="28"/>
          <w:szCs w:val="28"/>
          <w:lang w:eastAsia="zh-CN"/>
        </w:rPr>
        <w:t>七</w:t>
      </w:r>
      <w:r>
        <w:rPr>
          <w:rFonts w:hint="eastAsia"/>
          <w:b/>
          <w:bCs/>
          <w:sz w:val="28"/>
          <w:szCs w:val="28"/>
        </w:rPr>
        <w:t>、是否需要提供样品</w:t>
      </w:r>
      <w:r>
        <w:rPr>
          <w:rFonts w:hint="eastAsia"/>
          <w:sz w:val="28"/>
          <w:szCs w:val="28"/>
          <w:lang w:eastAsia="zh-CN"/>
        </w:rPr>
        <w:t>：</w:t>
      </w:r>
    </w:p>
    <w:p>
      <w:pPr>
        <w:rPr>
          <w:rFonts w:hint="default" w:eastAsia="宋体"/>
          <w:b w:val="0"/>
          <w:bCs w:val="0"/>
          <w:sz w:val="24"/>
          <w:szCs w:val="24"/>
          <w:u w:val="single"/>
          <w:lang w:val="en-US" w:eastAsia="zh-CN"/>
        </w:rPr>
      </w:pPr>
      <w:r>
        <w:rPr>
          <w:rFonts w:hint="eastAsia"/>
          <w:b w:val="0"/>
          <w:bCs w:val="0"/>
          <w:sz w:val="24"/>
          <w:szCs w:val="24"/>
          <w:lang w:val="en-US" w:eastAsia="zh-CN"/>
        </w:rPr>
        <w:t xml:space="preserve">    </w:t>
      </w:r>
      <w:r>
        <w:rPr>
          <w:rFonts w:hint="eastAsia" w:ascii="宋体" w:hAnsi="宋体" w:eastAsia="宋体" w:cs="Times New Roman"/>
          <w:color w:val="auto"/>
          <w:sz w:val="24"/>
          <w:szCs w:val="24"/>
          <w:lang w:val="en-US" w:eastAsia="zh-CN"/>
        </w:rPr>
        <w:sym w:font="Wingdings" w:char="00A8"/>
      </w:r>
      <w:r>
        <w:rPr>
          <w:rFonts w:hint="eastAsia" w:ascii="宋体" w:hAnsi="宋体" w:eastAsia="宋体" w:cs="Times New Roman"/>
          <w:color w:val="auto"/>
          <w:sz w:val="24"/>
          <w:szCs w:val="24"/>
          <w:lang w:val="en-US" w:eastAsia="zh-CN"/>
        </w:rPr>
        <w:t xml:space="preserve">需要（开标前提供）    </w:t>
      </w:r>
      <w:r>
        <w:rPr>
          <w:rFonts w:hint="eastAsia" w:ascii="宋体" w:hAnsi="宋体" w:eastAsia="宋体" w:cs="Times New Roman"/>
          <w:color w:val="auto"/>
          <w:sz w:val="24"/>
          <w:szCs w:val="24"/>
          <w:lang w:val="en-US" w:eastAsia="zh-CN"/>
        </w:rPr>
        <w:sym w:font="Wingdings" w:char="00A8"/>
      </w:r>
      <w:r>
        <w:rPr>
          <w:rFonts w:hint="eastAsia" w:ascii="宋体" w:hAnsi="宋体" w:eastAsia="宋体" w:cs="Times New Roman"/>
          <w:color w:val="auto"/>
          <w:sz w:val="24"/>
          <w:szCs w:val="24"/>
          <w:lang w:val="en-US" w:eastAsia="zh-CN"/>
        </w:rPr>
        <w:t xml:space="preserve">需要（开标后提供）    </w:t>
      </w:r>
      <w:r>
        <w:rPr>
          <w:rFonts w:hint="eastAsia" w:ascii="宋体" w:hAnsi="宋体" w:eastAsia="宋体" w:cs="Times New Roman"/>
          <w:color w:val="auto"/>
          <w:sz w:val="24"/>
          <w:szCs w:val="24"/>
          <w:lang w:val="en-US" w:eastAsia="zh-CN"/>
        </w:rPr>
        <w:sym w:font="Wingdings" w:char="00A8"/>
      </w:r>
      <w:r>
        <w:rPr>
          <w:rFonts w:hint="eastAsia" w:ascii="宋体" w:hAnsi="宋体" w:eastAsia="宋体" w:cs="Times New Roman"/>
          <w:color w:val="auto"/>
          <w:sz w:val="24"/>
          <w:szCs w:val="24"/>
          <w:lang w:val="en-US" w:eastAsia="zh-CN"/>
        </w:rPr>
        <w:t>不需要</w:t>
      </w:r>
    </w:p>
    <w:p>
      <w:pPr>
        <w:rPr>
          <w:rFonts w:hint="eastAsia" w:eastAsia="宋体"/>
          <w:b/>
          <w:sz w:val="28"/>
          <w:szCs w:val="28"/>
          <w:lang w:eastAsia="zh-CN"/>
        </w:rPr>
      </w:pPr>
      <w:r>
        <w:rPr>
          <w:rFonts w:hint="eastAsia"/>
          <w:b/>
          <w:sz w:val="28"/>
          <w:szCs w:val="28"/>
          <w:lang w:eastAsia="zh-CN"/>
        </w:rPr>
        <w:t>八</w:t>
      </w:r>
      <w:r>
        <w:rPr>
          <w:rFonts w:hint="eastAsia"/>
          <w:b/>
          <w:sz w:val="28"/>
          <w:szCs w:val="28"/>
        </w:rPr>
        <w:t>、项目概况</w:t>
      </w:r>
      <w:r>
        <w:rPr>
          <w:rFonts w:hint="eastAsia"/>
          <w:b/>
          <w:sz w:val="28"/>
          <w:szCs w:val="28"/>
          <w:lang w:eastAsia="zh-CN"/>
        </w:rPr>
        <w:t>：</w:t>
      </w:r>
    </w:p>
    <w:p>
      <w:pPr>
        <w:rPr>
          <w:rFonts w:hint="default" w:eastAsia="宋体"/>
          <w:b w:val="0"/>
          <w:bCs/>
          <w:i/>
          <w:iCs/>
          <w:color w:val="FF0000"/>
          <w:sz w:val="24"/>
          <w:szCs w:val="24"/>
          <w:lang w:val="en-US" w:eastAsia="zh-CN"/>
        </w:rPr>
      </w:pPr>
      <w:r>
        <w:rPr>
          <w:rFonts w:hint="eastAsia"/>
          <w:b w:val="0"/>
          <w:bCs/>
          <w:i/>
          <w:iCs/>
          <w:sz w:val="24"/>
          <w:szCs w:val="24"/>
          <w:lang w:val="en-US" w:eastAsia="zh-CN"/>
        </w:rPr>
        <w:t xml:space="preserve">    </w:t>
      </w:r>
      <w:r>
        <w:rPr>
          <w:rFonts w:hint="eastAsia"/>
          <w:b w:val="0"/>
          <w:bCs/>
          <w:i/>
          <w:iCs/>
          <w:color w:val="FF0000"/>
          <w:sz w:val="24"/>
          <w:szCs w:val="24"/>
          <w:lang w:val="en-US" w:eastAsia="zh-CN"/>
        </w:rPr>
        <w:t>简单说明采购项目内容即可，不需要写采购原因。</w:t>
      </w:r>
    </w:p>
    <w:p>
      <w:pPr>
        <w:rPr>
          <w:rFonts w:hint="eastAsia"/>
          <w:b/>
          <w:bCs/>
          <w:sz w:val="28"/>
          <w:szCs w:val="28"/>
          <w:lang w:val="en-US" w:eastAsia="zh-CN"/>
        </w:rPr>
      </w:pPr>
      <w:r>
        <w:rPr>
          <w:rFonts w:hint="eastAsia"/>
          <w:b/>
          <w:bCs/>
          <w:sz w:val="28"/>
          <w:szCs w:val="28"/>
          <w:lang w:val="en-US" w:eastAsia="zh-CN"/>
        </w:rPr>
        <w:t>九、采购预算及最高限价：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第1包预（概）算：</w:t>
      </w:r>
      <w:r>
        <w:rPr>
          <w:rFonts w:hint="eastAsia" w:ascii="Times New Roman" w:hAnsi="Times New Roman" w:eastAsia="宋体" w:cs="Times New Roman"/>
          <w:sz w:val="24"/>
          <w:szCs w:val="24"/>
          <w:u w:val="single"/>
          <w:lang w:val="en-US" w:eastAsia="zh-CN"/>
        </w:rPr>
        <w:t xml:space="preserve">         </w:t>
      </w:r>
      <w:r>
        <w:rPr>
          <w:rFonts w:hint="eastAsia" w:ascii="Times New Roman" w:hAnsi="Times New Roman" w:eastAsia="宋体" w:cs="Times New Roman"/>
          <w:sz w:val="24"/>
          <w:szCs w:val="24"/>
          <w:lang w:val="en-US" w:eastAsia="zh-CN"/>
        </w:rPr>
        <w:t>（万元），最高限价：</w:t>
      </w:r>
      <w:r>
        <w:rPr>
          <w:rFonts w:hint="eastAsia" w:ascii="Times New Roman" w:hAnsi="Times New Roman" w:eastAsia="宋体" w:cs="Times New Roman"/>
          <w:sz w:val="24"/>
          <w:szCs w:val="24"/>
          <w:u w:val="single"/>
          <w:lang w:val="en-US" w:eastAsia="zh-CN"/>
        </w:rPr>
        <w:t xml:space="preserve">         </w:t>
      </w:r>
      <w:r>
        <w:rPr>
          <w:rFonts w:hint="eastAsia" w:ascii="Times New Roman" w:hAnsi="Times New Roman" w:eastAsia="宋体" w:cs="Times New Roman"/>
          <w:sz w:val="24"/>
          <w:szCs w:val="24"/>
          <w:u w:val="none"/>
          <w:lang w:val="en-US" w:eastAsia="zh-CN"/>
        </w:rPr>
        <w:t>（万元）</w:t>
      </w:r>
      <w:r>
        <w:rPr>
          <w:rFonts w:hint="eastAsia" w:ascii="Times New Roman" w:hAnsi="Times New Roman" w:eastAsia="宋体"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第2包预（概）算：</w:t>
      </w:r>
      <w:r>
        <w:rPr>
          <w:rFonts w:hint="eastAsia" w:ascii="Times New Roman" w:hAnsi="Times New Roman" w:eastAsia="宋体" w:cs="Times New Roman"/>
          <w:sz w:val="24"/>
          <w:szCs w:val="24"/>
          <w:u w:val="single"/>
          <w:lang w:val="en-US" w:eastAsia="zh-CN"/>
        </w:rPr>
        <w:t xml:space="preserve">         </w:t>
      </w:r>
      <w:r>
        <w:rPr>
          <w:rFonts w:hint="eastAsia" w:ascii="Times New Roman" w:hAnsi="Times New Roman" w:eastAsia="宋体" w:cs="Times New Roman"/>
          <w:sz w:val="24"/>
          <w:szCs w:val="24"/>
          <w:lang w:val="en-US" w:eastAsia="zh-CN"/>
        </w:rPr>
        <w:t>（万元），最高限价：</w:t>
      </w:r>
      <w:r>
        <w:rPr>
          <w:rFonts w:hint="eastAsia" w:ascii="Times New Roman" w:hAnsi="Times New Roman" w:eastAsia="宋体" w:cs="Times New Roman"/>
          <w:sz w:val="24"/>
          <w:szCs w:val="24"/>
          <w:u w:val="single"/>
          <w:lang w:val="en-US" w:eastAsia="zh-CN"/>
        </w:rPr>
        <w:t xml:space="preserve">         </w:t>
      </w:r>
      <w:r>
        <w:rPr>
          <w:rFonts w:hint="eastAsia" w:ascii="Times New Roman" w:hAnsi="Times New Roman" w:eastAsia="宋体" w:cs="Times New Roman"/>
          <w:sz w:val="24"/>
          <w:szCs w:val="24"/>
          <w:u w:val="none"/>
          <w:lang w:val="en-US" w:eastAsia="zh-CN"/>
        </w:rPr>
        <w:t>（万元）</w:t>
      </w:r>
      <w:r>
        <w:rPr>
          <w:rFonts w:hint="eastAsia" w:ascii="Times New Roman" w:hAnsi="Times New Roman" w:eastAsia="宋体" w:cs="Times New Roman"/>
          <w:sz w:val="24"/>
          <w:szCs w:val="24"/>
          <w:lang w:val="en-US" w:eastAsia="zh-CN"/>
        </w:rPr>
        <w:t>；</w:t>
      </w:r>
    </w:p>
    <w:p>
      <w:pPr>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十、采购标的汇总表：</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技术要求是指对采购标的的功能和质量要求，包括性能、材料、结构、外观、安全，或者服务内容和标准等。功能和质量指标的设置要充分考虑可能影响供应商报价和项目实施风险的因素。除单一来源采购项目外，技术要求不得指向特定的专利、商标、品牌、技术路线等。</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商务要求是指取得采购标的的时间、地点、财务和服务要求，包括交付（实施）的时间（期限）和地点（范围），付款条件（进度和方式），包装和运输，售后服务，保险等。</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采购进口产品报财政部门核准安排：进口产品采购论证项目单位组织实施。科研采购进口产品实行备案制，非科研类采购进口产品报财政部门、教育厅审核。</w:t>
      </w:r>
    </w:p>
    <w:tbl>
      <w:tblPr>
        <w:tblStyle w:val="3"/>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62"/>
        <w:gridCol w:w="1297"/>
        <w:gridCol w:w="3406"/>
        <w:gridCol w:w="471"/>
        <w:gridCol w:w="459"/>
        <w:gridCol w:w="556"/>
        <w:gridCol w:w="590"/>
        <w:gridCol w:w="701"/>
        <w:gridCol w:w="9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9165" w:type="dxa"/>
            <w:gridSpan w:val="9"/>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default" w:ascii="宋体" w:hAnsi="宋体" w:eastAsia="宋体"/>
                <w:sz w:val="21"/>
                <w:szCs w:val="21"/>
                <w:lang w:val="en-US" w:eastAsia="zh-CN"/>
              </w:rPr>
            </w:pPr>
            <w:r>
              <w:rPr>
                <w:rFonts w:hint="eastAsia" w:ascii="宋体" w:hAnsi="宋体"/>
                <w:b/>
                <w:bCs/>
                <w:sz w:val="21"/>
                <w:szCs w:val="21"/>
                <w:lang w:val="en-US" w:eastAsia="zh-CN"/>
              </w:rPr>
              <w:t xml:space="preserve">第1包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3" w:hRule="atLeast"/>
        </w:trPr>
        <w:tc>
          <w:tcPr>
            <w:tcW w:w="7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1"/>
                <w:szCs w:val="21"/>
              </w:rPr>
            </w:pPr>
            <w:r>
              <w:rPr>
                <w:rFonts w:hint="eastAsia" w:ascii="宋体" w:hAnsi="宋体"/>
                <w:sz w:val="21"/>
                <w:szCs w:val="21"/>
              </w:rPr>
              <w:t>序号</w:t>
            </w:r>
          </w:p>
        </w:tc>
        <w:tc>
          <w:tcPr>
            <w:tcW w:w="129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rPr>
            </w:pPr>
            <w:r>
              <w:rPr>
                <w:rFonts w:hint="eastAsia" w:ascii="宋体" w:hAnsi="宋体"/>
                <w:sz w:val="21"/>
                <w:szCs w:val="21"/>
              </w:rPr>
              <w:t>标的名称</w:t>
            </w:r>
          </w:p>
          <w:p>
            <w:pPr>
              <w:jc w:val="center"/>
              <w:rPr>
                <w:rFonts w:hint="eastAsia" w:ascii="宋体" w:hAnsi="宋体" w:cs="宋体"/>
                <w:sz w:val="21"/>
                <w:szCs w:val="21"/>
              </w:rPr>
            </w:pPr>
            <w:r>
              <w:rPr>
                <w:rFonts w:hint="eastAsia" w:ascii="宋体" w:hAnsi="宋体"/>
                <w:sz w:val="18"/>
                <w:szCs w:val="18"/>
              </w:rPr>
              <w:t>（</w:t>
            </w:r>
            <w:r>
              <w:rPr>
                <w:rFonts w:hint="eastAsia" w:ascii="宋体" w:hAnsi="宋体"/>
                <w:sz w:val="18"/>
                <w:szCs w:val="18"/>
                <w:lang w:val="en-US" w:eastAsia="zh-CN"/>
              </w:rPr>
              <w:t>品目编码</w:t>
            </w:r>
            <w:r>
              <w:rPr>
                <w:rFonts w:hint="eastAsia" w:ascii="宋体" w:hAnsi="宋体"/>
                <w:sz w:val="18"/>
                <w:szCs w:val="18"/>
              </w:rPr>
              <w:t>）</w:t>
            </w:r>
          </w:p>
        </w:tc>
        <w:tc>
          <w:tcPr>
            <w:tcW w:w="3406"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default" w:ascii="宋体" w:hAnsi="宋体" w:eastAsia="宋体" w:cs="宋体"/>
                <w:sz w:val="21"/>
                <w:szCs w:val="21"/>
                <w:lang w:val="en-US" w:eastAsia="zh-CN"/>
              </w:rPr>
            </w:pPr>
            <w:r>
              <w:rPr>
                <w:rFonts w:hint="eastAsia" w:ascii="宋体" w:hAnsi="宋体"/>
                <w:sz w:val="21"/>
                <w:szCs w:val="21"/>
                <w:lang w:val="en-US" w:eastAsia="zh-CN"/>
              </w:rPr>
              <w:t>技术要求、商务要求</w:t>
            </w:r>
          </w:p>
        </w:tc>
        <w:tc>
          <w:tcPr>
            <w:tcW w:w="47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1"/>
                <w:szCs w:val="21"/>
              </w:rPr>
            </w:pPr>
            <w:r>
              <w:rPr>
                <w:rFonts w:hint="eastAsia" w:ascii="宋体" w:hAnsi="宋体"/>
                <w:sz w:val="21"/>
                <w:szCs w:val="21"/>
              </w:rPr>
              <w:t>数量</w:t>
            </w:r>
          </w:p>
        </w:tc>
        <w:tc>
          <w:tcPr>
            <w:tcW w:w="4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1"/>
                <w:szCs w:val="21"/>
              </w:rPr>
            </w:pPr>
            <w:r>
              <w:rPr>
                <w:rFonts w:hint="eastAsia" w:ascii="宋体" w:hAnsi="宋体"/>
                <w:sz w:val="21"/>
                <w:szCs w:val="21"/>
              </w:rPr>
              <w:t>单位</w:t>
            </w:r>
          </w:p>
        </w:tc>
        <w:tc>
          <w:tcPr>
            <w:tcW w:w="5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1"/>
                <w:szCs w:val="21"/>
              </w:rPr>
            </w:pPr>
            <w:r>
              <w:rPr>
                <w:rFonts w:hint="eastAsia" w:ascii="宋体" w:hAnsi="宋体"/>
                <w:sz w:val="21"/>
                <w:szCs w:val="21"/>
              </w:rPr>
              <w:t>单价</w:t>
            </w:r>
          </w:p>
        </w:tc>
        <w:tc>
          <w:tcPr>
            <w:tcW w:w="59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1"/>
                <w:szCs w:val="21"/>
              </w:rPr>
            </w:pPr>
            <w:r>
              <w:rPr>
                <w:rFonts w:hint="eastAsia" w:ascii="宋体" w:hAnsi="宋体"/>
                <w:sz w:val="21"/>
                <w:szCs w:val="21"/>
              </w:rPr>
              <w:t>金额</w:t>
            </w:r>
          </w:p>
        </w:tc>
        <w:tc>
          <w:tcPr>
            <w:tcW w:w="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rPr>
            </w:pPr>
            <w:r>
              <w:rPr>
                <w:rFonts w:hint="eastAsia" w:ascii="宋体" w:hAnsi="宋体"/>
                <w:sz w:val="21"/>
                <w:szCs w:val="21"/>
              </w:rPr>
              <w:t>是否进口</w:t>
            </w:r>
          </w:p>
        </w:tc>
        <w:tc>
          <w:tcPr>
            <w:tcW w:w="92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rPr>
            </w:pPr>
            <w:r>
              <w:rPr>
                <w:rFonts w:hint="eastAsia" w:ascii="宋体" w:hAnsi="宋体"/>
                <w:sz w:val="21"/>
                <w:szCs w:val="21"/>
              </w:rPr>
              <w:t>使用人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2" w:hRule="atLeast"/>
        </w:trPr>
        <w:tc>
          <w:tcPr>
            <w:tcW w:w="7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sz w:val="21"/>
                <w:szCs w:val="21"/>
                <w:lang w:val="en-US" w:eastAsia="zh-CN"/>
              </w:rPr>
            </w:pPr>
            <w:r>
              <w:rPr>
                <w:rFonts w:hint="eastAsia" w:ascii="宋体" w:hAnsi="宋体"/>
                <w:sz w:val="21"/>
                <w:szCs w:val="21"/>
                <w:lang w:val="en-US" w:eastAsia="zh-CN"/>
              </w:rPr>
              <w:t>1</w:t>
            </w:r>
          </w:p>
        </w:tc>
        <w:tc>
          <w:tcPr>
            <w:tcW w:w="1297" w:type="dxa"/>
            <w:tcBorders>
              <w:top w:val="single" w:color="auto" w:sz="4" w:space="0"/>
              <w:left w:val="single" w:color="auto" w:sz="4" w:space="0"/>
              <w:bottom w:val="single" w:color="auto" w:sz="4" w:space="0"/>
              <w:right w:val="single" w:color="auto" w:sz="4" w:space="0"/>
            </w:tcBorders>
            <w:noWrap w:val="0"/>
            <w:vAlign w:val="center"/>
          </w:tcPr>
          <w:p>
            <w:pPr>
              <w:rPr>
                <w:rFonts w:hint="default" w:ascii="宋体" w:hAnsi="宋体" w:eastAsia="宋体"/>
                <w:sz w:val="21"/>
                <w:szCs w:val="21"/>
                <w:lang w:val="en-US" w:eastAsia="zh-CN"/>
              </w:rPr>
            </w:pPr>
          </w:p>
        </w:tc>
        <w:tc>
          <w:tcPr>
            <w:tcW w:w="3406"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hint="eastAsia" w:ascii="宋体" w:hAnsi="宋体"/>
                <w:sz w:val="21"/>
                <w:szCs w:val="21"/>
              </w:rPr>
            </w:pPr>
          </w:p>
        </w:tc>
        <w:tc>
          <w:tcPr>
            <w:tcW w:w="47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rPr>
            </w:pPr>
          </w:p>
        </w:tc>
        <w:tc>
          <w:tcPr>
            <w:tcW w:w="4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rPr>
            </w:pPr>
          </w:p>
        </w:tc>
        <w:tc>
          <w:tcPr>
            <w:tcW w:w="556"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sz w:val="21"/>
                <w:szCs w:val="21"/>
              </w:rPr>
            </w:pPr>
          </w:p>
        </w:tc>
        <w:tc>
          <w:tcPr>
            <w:tcW w:w="59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sz w:val="21"/>
                <w:szCs w:val="21"/>
              </w:rPr>
            </w:pPr>
          </w:p>
        </w:tc>
        <w:tc>
          <w:tcPr>
            <w:tcW w:w="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rPr>
            </w:pPr>
          </w:p>
        </w:tc>
        <w:tc>
          <w:tcPr>
            <w:tcW w:w="923"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2" w:hRule="atLeast"/>
        </w:trPr>
        <w:tc>
          <w:tcPr>
            <w:tcW w:w="7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sz w:val="18"/>
                <w:szCs w:val="18"/>
                <w:lang w:val="en-US" w:eastAsia="zh-CN"/>
              </w:rPr>
            </w:pPr>
            <w:r>
              <w:rPr>
                <w:rFonts w:hint="eastAsia" w:ascii="宋体" w:hAnsi="宋体"/>
                <w:sz w:val="18"/>
                <w:szCs w:val="18"/>
                <w:lang w:val="en-US" w:eastAsia="zh-CN"/>
              </w:rPr>
              <w:t>2</w:t>
            </w:r>
          </w:p>
        </w:tc>
        <w:tc>
          <w:tcPr>
            <w:tcW w:w="1297" w:type="dxa"/>
            <w:tcBorders>
              <w:top w:val="single" w:color="auto" w:sz="4" w:space="0"/>
              <w:left w:val="single" w:color="auto" w:sz="4" w:space="0"/>
              <w:bottom w:val="single" w:color="auto" w:sz="4" w:space="0"/>
              <w:right w:val="single" w:color="auto" w:sz="4" w:space="0"/>
            </w:tcBorders>
            <w:noWrap w:val="0"/>
            <w:vAlign w:val="center"/>
          </w:tcPr>
          <w:p>
            <w:pPr>
              <w:pStyle w:val="2"/>
              <w:jc w:val="both"/>
              <w:rPr>
                <w:rFonts w:hint="eastAsia"/>
                <w:sz w:val="18"/>
                <w:szCs w:val="18"/>
              </w:rPr>
            </w:pPr>
          </w:p>
        </w:tc>
        <w:tc>
          <w:tcPr>
            <w:tcW w:w="3406" w:type="dxa"/>
            <w:tcBorders>
              <w:top w:val="single" w:color="auto" w:sz="4" w:space="0"/>
              <w:left w:val="single" w:color="auto" w:sz="4" w:space="0"/>
              <w:bottom w:val="single" w:color="auto" w:sz="4" w:space="0"/>
              <w:right w:val="single" w:color="auto" w:sz="4" w:space="0"/>
            </w:tcBorders>
            <w:noWrap w:val="0"/>
            <w:vAlign w:val="center"/>
          </w:tcPr>
          <w:p>
            <w:pPr>
              <w:pStyle w:val="2"/>
              <w:spacing w:line="240" w:lineRule="atLeast"/>
              <w:jc w:val="both"/>
              <w:rPr>
                <w:rFonts w:hint="eastAsia"/>
                <w:sz w:val="18"/>
                <w:szCs w:val="18"/>
              </w:rPr>
            </w:pPr>
          </w:p>
        </w:tc>
        <w:tc>
          <w:tcPr>
            <w:tcW w:w="471" w:type="dxa"/>
            <w:tcBorders>
              <w:top w:val="single" w:color="auto" w:sz="4" w:space="0"/>
              <w:left w:val="single" w:color="auto" w:sz="4" w:space="0"/>
              <w:bottom w:val="single" w:color="auto" w:sz="4" w:space="0"/>
              <w:right w:val="single" w:color="auto" w:sz="4" w:space="0"/>
            </w:tcBorders>
            <w:noWrap w:val="0"/>
            <w:vAlign w:val="center"/>
          </w:tcPr>
          <w:p>
            <w:pPr>
              <w:pStyle w:val="2"/>
              <w:jc w:val="center"/>
              <w:rPr>
                <w:rFonts w:hint="eastAsia"/>
                <w:sz w:val="18"/>
                <w:szCs w:val="18"/>
              </w:rPr>
            </w:pPr>
          </w:p>
        </w:tc>
        <w:tc>
          <w:tcPr>
            <w:tcW w:w="459" w:type="dxa"/>
            <w:tcBorders>
              <w:top w:val="single" w:color="auto" w:sz="4" w:space="0"/>
              <w:left w:val="single" w:color="auto" w:sz="4" w:space="0"/>
              <w:bottom w:val="single" w:color="auto" w:sz="4" w:space="0"/>
              <w:right w:val="single" w:color="auto" w:sz="4" w:space="0"/>
            </w:tcBorders>
            <w:noWrap w:val="0"/>
            <w:vAlign w:val="center"/>
          </w:tcPr>
          <w:p>
            <w:pPr>
              <w:pStyle w:val="2"/>
              <w:jc w:val="center"/>
              <w:rPr>
                <w:rFonts w:hint="eastAsia"/>
                <w:sz w:val="18"/>
                <w:szCs w:val="18"/>
              </w:rPr>
            </w:pPr>
          </w:p>
        </w:tc>
        <w:tc>
          <w:tcPr>
            <w:tcW w:w="556" w:type="dxa"/>
            <w:tcBorders>
              <w:top w:val="single" w:color="auto" w:sz="4" w:space="0"/>
              <w:left w:val="single" w:color="auto" w:sz="4" w:space="0"/>
              <w:bottom w:val="single" w:color="auto" w:sz="4" w:space="0"/>
              <w:right w:val="single" w:color="auto" w:sz="4" w:space="0"/>
            </w:tcBorders>
            <w:noWrap w:val="0"/>
            <w:vAlign w:val="center"/>
          </w:tcPr>
          <w:p>
            <w:pPr>
              <w:pStyle w:val="2"/>
              <w:jc w:val="both"/>
              <w:rPr>
                <w:rFonts w:hint="eastAsia"/>
                <w:sz w:val="18"/>
                <w:szCs w:val="18"/>
              </w:rPr>
            </w:pPr>
          </w:p>
        </w:tc>
        <w:tc>
          <w:tcPr>
            <w:tcW w:w="590" w:type="dxa"/>
            <w:tcBorders>
              <w:top w:val="single" w:color="auto" w:sz="4" w:space="0"/>
              <w:left w:val="single" w:color="auto" w:sz="4" w:space="0"/>
              <w:bottom w:val="single" w:color="auto" w:sz="4" w:space="0"/>
              <w:right w:val="single" w:color="auto" w:sz="4" w:space="0"/>
            </w:tcBorders>
            <w:noWrap w:val="0"/>
            <w:vAlign w:val="center"/>
          </w:tcPr>
          <w:p>
            <w:pPr>
              <w:pStyle w:val="2"/>
              <w:jc w:val="both"/>
              <w:rPr>
                <w:rFonts w:hint="eastAsia"/>
                <w:sz w:val="18"/>
                <w:szCs w:val="18"/>
              </w:rPr>
            </w:pP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2"/>
              <w:jc w:val="center"/>
              <w:rPr>
                <w:rFonts w:hint="eastAsia"/>
                <w:sz w:val="18"/>
                <w:szCs w:val="18"/>
              </w:rPr>
            </w:pPr>
          </w:p>
        </w:tc>
        <w:tc>
          <w:tcPr>
            <w:tcW w:w="923" w:type="dxa"/>
            <w:tcBorders>
              <w:top w:val="single" w:color="auto" w:sz="4" w:space="0"/>
              <w:left w:val="single" w:color="auto" w:sz="4" w:space="0"/>
              <w:bottom w:val="single" w:color="auto" w:sz="4" w:space="0"/>
              <w:right w:val="single" w:color="auto" w:sz="4" w:space="0"/>
            </w:tcBorders>
            <w:noWrap w:val="0"/>
            <w:vAlign w:val="center"/>
          </w:tcPr>
          <w:p>
            <w:pPr>
              <w:pStyle w:val="2"/>
              <w:jc w:val="both"/>
              <w:rPr>
                <w:rFonts w:hint="eastAsia"/>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 w:hRule="atLeast"/>
        </w:trPr>
        <w:tc>
          <w:tcPr>
            <w:tcW w:w="762"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ind w:left="0" w:leftChars="0" w:firstLine="0" w:firstLineChars="0"/>
              <w:jc w:val="center"/>
              <w:rPr>
                <w:rFonts w:hint="eastAsia"/>
                <w:b w:val="0"/>
                <w:bCs w:val="0"/>
                <w:kern w:val="2"/>
                <w:sz w:val="21"/>
                <w:szCs w:val="21"/>
                <w:u w:val="none"/>
                <w:vertAlign w:val="baseline"/>
                <w:lang w:val="en-US" w:eastAsia="zh-CN" w:bidi="ar-SA"/>
              </w:rPr>
            </w:pPr>
            <w:r>
              <w:rPr>
                <w:rFonts w:hint="eastAsia"/>
                <w:b w:val="0"/>
                <w:bCs w:val="0"/>
                <w:sz w:val="21"/>
                <w:szCs w:val="21"/>
                <w:u w:val="none"/>
                <w:vertAlign w:val="baseline"/>
                <w:lang w:val="en-US" w:eastAsia="zh-CN"/>
              </w:rPr>
              <w:t>……</w:t>
            </w:r>
          </w:p>
        </w:tc>
        <w:tc>
          <w:tcPr>
            <w:tcW w:w="1297"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ind w:left="0" w:leftChars="0" w:firstLine="0" w:firstLineChars="0"/>
              <w:jc w:val="center"/>
              <w:rPr>
                <w:rFonts w:hint="eastAsia"/>
                <w:b w:val="0"/>
                <w:bCs w:val="0"/>
                <w:kern w:val="2"/>
                <w:sz w:val="21"/>
                <w:szCs w:val="21"/>
                <w:u w:val="none"/>
                <w:vertAlign w:val="baseline"/>
                <w:lang w:val="en-US" w:eastAsia="zh-CN" w:bidi="ar-SA"/>
              </w:rPr>
            </w:pPr>
            <w:r>
              <w:rPr>
                <w:rFonts w:hint="eastAsia"/>
                <w:b w:val="0"/>
                <w:bCs w:val="0"/>
                <w:sz w:val="21"/>
                <w:szCs w:val="21"/>
                <w:u w:val="none"/>
                <w:vertAlign w:val="baseline"/>
                <w:lang w:val="en-US" w:eastAsia="zh-CN"/>
              </w:rPr>
              <w:t>……</w:t>
            </w:r>
          </w:p>
        </w:tc>
        <w:tc>
          <w:tcPr>
            <w:tcW w:w="3406"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ind w:left="0" w:leftChars="0" w:firstLine="0" w:firstLineChars="0"/>
              <w:jc w:val="center"/>
              <w:rPr>
                <w:rFonts w:hint="eastAsia"/>
                <w:b w:val="0"/>
                <w:bCs w:val="0"/>
                <w:kern w:val="2"/>
                <w:sz w:val="21"/>
                <w:szCs w:val="21"/>
                <w:u w:val="none"/>
                <w:vertAlign w:val="baseline"/>
                <w:lang w:val="en-US" w:eastAsia="zh-CN" w:bidi="ar-SA"/>
              </w:rPr>
            </w:pPr>
            <w:r>
              <w:rPr>
                <w:rFonts w:hint="eastAsia"/>
                <w:b w:val="0"/>
                <w:bCs w:val="0"/>
                <w:sz w:val="21"/>
                <w:szCs w:val="21"/>
                <w:u w:val="none"/>
                <w:vertAlign w:val="baseline"/>
                <w:lang w:val="en-US" w:eastAsia="zh-CN"/>
              </w:rPr>
              <w:t>……</w:t>
            </w:r>
          </w:p>
        </w:tc>
        <w:tc>
          <w:tcPr>
            <w:tcW w:w="471" w:type="dxa"/>
            <w:tcBorders>
              <w:top w:val="single" w:color="auto" w:sz="4" w:space="0"/>
              <w:left w:val="single" w:color="auto" w:sz="4" w:space="0"/>
              <w:bottom w:val="single" w:color="auto" w:sz="4" w:space="0"/>
              <w:right w:val="single" w:color="auto" w:sz="4" w:space="0"/>
            </w:tcBorders>
            <w:noWrap w:val="0"/>
            <w:vAlign w:val="center"/>
          </w:tcPr>
          <w:p>
            <w:pPr>
              <w:pStyle w:val="2"/>
              <w:jc w:val="center"/>
              <w:rPr>
                <w:rFonts w:hint="eastAsia"/>
                <w:sz w:val="18"/>
                <w:szCs w:val="18"/>
              </w:rPr>
            </w:pPr>
          </w:p>
        </w:tc>
        <w:tc>
          <w:tcPr>
            <w:tcW w:w="459" w:type="dxa"/>
            <w:tcBorders>
              <w:top w:val="single" w:color="auto" w:sz="4" w:space="0"/>
              <w:left w:val="single" w:color="auto" w:sz="4" w:space="0"/>
              <w:bottom w:val="single" w:color="auto" w:sz="4" w:space="0"/>
              <w:right w:val="single" w:color="auto" w:sz="4" w:space="0"/>
            </w:tcBorders>
            <w:noWrap w:val="0"/>
            <w:vAlign w:val="center"/>
          </w:tcPr>
          <w:p>
            <w:pPr>
              <w:pStyle w:val="2"/>
              <w:jc w:val="center"/>
              <w:rPr>
                <w:rFonts w:hint="eastAsia"/>
                <w:sz w:val="18"/>
                <w:szCs w:val="18"/>
              </w:rPr>
            </w:pPr>
          </w:p>
        </w:tc>
        <w:tc>
          <w:tcPr>
            <w:tcW w:w="556" w:type="dxa"/>
            <w:tcBorders>
              <w:top w:val="single" w:color="auto" w:sz="4" w:space="0"/>
              <w:left w:val="single" w:color="auto" w:sz="4" w:space="0"/>
              <w:bottom w:val="single" w:color="auto" w:sz="4" w:space="0"/>
              <w:right w:val="single" w:color="auto" w:sz="4" w:space="0"/>
            </w:tcBorders>
            <w:noWrap w:val="0"/>
            <w:vAlign w:val="center"/>
          </w:tcPr>
          <w:p>
            <w:pPr>
              <w:pStyle w:val="2"/>
              <w:jc w:val="both"/>
              <w:rPr>
                <w:rFonts w:hint="eastAsia"/>
                <w:sz w:val="18"/>
                <w:szCs w:val="18"/>
              </w:rPr>
            </w:pPr>
          </w:p>
        </w:tc>
        <w:tc>
          <w:tcPr>
            <w:tcW w:w="590" w:type="dxa"/>
            <w:tcBorders>
              <w:top w:val="single" w:color="auto" w:sz="4" w:space="0"/>
              <w:left w:val="single" w:color="auto" w:sz="4" w:space="0"/>
              <w:bottom w:val="single" w:color="auto" w:sz="4" w:space="0"/>
              <w:right w:val="single" w:color="auto" w:sz="4" w:space="0"/>
            </w:tcBorders>
            <w:noWrap w:val="0"/>
            <w:vAlign w:val="center"/>
          </w:tcPr>
          <w:p>
            <w:pPr>
              <w:pStyle w:val="2"/>
              <w:jc w:val="both"/>
              <w:rPr>
                <w:rFonts w:hint="eastAsia"/>
                <w:sz w:val="18"/>
                <w:szCs w:val="18"/>
              </w:rPr>
            </w:pP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2"/>
              <w:jc w:val="center"/>
              <w:rPr>
                <w:rFonts w:hint="eastAsia"/>
                <w:sz w:val="18"/>
                <w:szCs w:val="18"/>
              </w:rPr>
            </w:pPr>
          </w:p>
        </w:tc>
        <w:tc>
          <w:tcPr>
            <w:tcW w:w="923" w:type="dxa"/>
            <w:tcBorders>
              <w:top w:val="single" w:color="auto" w:sz="4" w:space="0"/>
              <w:left w:val="single" w:color="auto" w:sz="4" w:space="0"/>
              <w:bottom w:val="single" w:color="auto" w:sz="4" w:space="0"/>
              <w:right w:val="single" w:color="auto" w:sz="4" w:space="0"/>
            </w:tcBorders>
            <w:noWrap w:val="0"/>
            <w:vAlign w:val="center"/>
          </w:tcPr>
          <w:p>
            <w:pPr>
              <w:pStyle w:val="2"/>
              <w:jc w:val="both"/>
              <w:rPr>
                <w:rFonts w:hint="eastAsia"/>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2" w:hRule="atLeast"/>
        </w:trPr>
        <w:tc>
          <w:tcPr>
            <w:tcW w:w="76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FF0000"/>
                <w:sz w:val="18"/>
                <w:szCs w:val="18"/>
              </w:rPr>
            </w:pPr>
          </w:p>
        </w:tc>
        <w:tc>
          <w:tcPr>
            <w:tcW w:w="1297" w:type="dxa"/>
            <w:tcBorders>
              <w:top w:val="single" w:color="auto" w:sz="4" w:space="0"/>
              <w:left w:val="single" w:color="auto" w:sz="4" w:space="0"/>
              <w:bottom w:val="single" w:color="auto" w:sz="4" w:space="0"/>
              <w:right w:val="single" w:color="auto" w:sz="4" w:space="0"/>
            </w:tcBorders>
            <w:noWrap w:val="0"/>
            <w:vAlign w:val="center"/>
          </w:tcPr>
          <w:p>
            <w:pPr>
              <w:pStyle w:val="2"/>
              <w:jc w:val="both"/>
              <w:rPr>
                <w:rFonts w:hint="eastAsia"/>
                <w:color w:val="FF0000"/>
                <w:sz w:val="18"/>
                <w:szCs w:val="18"/>
              </w:rPr>
            </w:pPr>
          </w:p>
        </w:tc>
        <w:tc>
          <w:tcPr>
            <w:tcW w:w="3406"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hint="eastAsia" w:ascii="宋体" w:hAnsi="宋体"/>
                <w:color w:val="FF0000"/>
                <w:sz w:val="18"/>
                <w:szCs w:val="18"/>
              </w:rPr>
            </w:pPr>
          </w:p>
        </w:tc>
        <w:tc>
          <w:tcPr>
            <w:tcW w:w="47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FF0000"/>
                <w:sz w:val="18"/>
                <w:szCs w:val="18"/>
              </w:rPr>
            </w:pPr>
          </w:p>
        </w:tc>
        <w:tc>
          <w:tcPr>
            <w:tcW w:w="45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FF0000"/>
                <w:sz w:val="18"/>
                <w:szCs w:val="18"/>
              </w:rPr>
            </w:pPr>
          </w:p>
        </w:tc>
        <w:tc>
          <w:tcPr>
            <w:tcW w:w="556"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szCs w:val="18"/>
              </w:rPr>
            </w:pPr>
            <w:r>
              <w:rPr>
                <w:rFonts w:hint="eastAsia" w:ascii="宋体" w:hAnsi="宋体"/>
                <w:b/>
                <w:szCs w:val="28"/>
              </w:rPr>
              <w:t>总计</w:t>
            </w:r>
          </w:p>
        </w:tc>
        <w:tc>
          <w:tcPr>
            <w:tcW w:w="59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宋体" w:hAnsi="宋体"/>
                <w:szCs w:val="18"/>
              </w:rPr>
            </w:pPr>
            <w:r>
              <w:rPr>
                <w:rFonts w:hint="eastAsia" w:ascii="宋体" w:hAnsi="宋体"/>
                <w:szCs w:val="18"/>
              </w:rPr>
              <w:t>××万</w:t>
            </w:r>
          </w:p>
        </w:tc>
        <w:tc>
          <w:tcPr>
            <w:tcW w:w="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宋体" w:hAnsi="宋体"/>
                <w:color w:val="FF0000"/>
                <w:szCs w:val="18"/>
              </w:rPr>
            </w:pPr>
          </w:p>
        </w:tc>
        <w:tc>
          <w:tcPr>
            <w:tcW w:w="9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宋体" w:hAnsi="宋体"/>
                <w:color w:val="FF0000"/>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9165" w:type="dxa"/>
            <w:gridSpan w:val="9"/>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default" w:ascii="宋体" w:hAnsi="宋体" w:eastAsia="宋体"/>
                <w:sz w:val="21"/>
                <w:szCs w:val="21"/>
                <w:lang w:val="en-US" w:eastAsia="zh-CN"/>
              </w:rPr>
            </w:pPr>
            <w:r>
              <w:rPr>
                <w:rFonts w:hint="eastAsia" w:ascii="宋体" w:hAnsi="宋体"/>
                <w:b/>
                <w:bCs/>
                <w:sz w:val="21"/>
                <w:szCs w:val="21"/>
                <w:lang w:val="en-US" w:eastAsia="zh-CN"/>
              </w:rPr>
              <w:t xml:space="preserve">第2包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2" w:hRule="atLeast"/>
        </w:trPr>
        <w:tc>
          <w:tcPr>
            <w:tcW w:w="7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kern w:val="2"/>
                <w:sz w:val="21"/>
                <w:szCs w:val="21"/>
                <w:lang w:val="en-US" w:eastAsia="zh-CN" w:bidi="ar-SA"/>
              </w:rPr>
            </w:pPr>
            <w:r>
              <w:rPr>
                <w:rFonts w:hint="eastAsia" w:ascii="宋体" w:hAnsi="宋体"/>
                <w:sz w:val="21"/>
                <w:szCs w:val="21"/>
              </w:rPr>
              <w:t>序号</w:t>
            </w:r>
          </w:p>
        </w:tc>
        <w:tc>
          <w:tcPr>
            <w:tcW w:w="129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rPr>
            </w:pPr>
            <w:r>
              <w:rPr>
                <w:rFonts w:hint="eastAsia" w:ascii="宋体" w:hAnsi="宋体"/>
                <w:sz w:val="21"/>
                <w:szCs w:val="21"/>
              </w:rPr>
              <w:t>标的名称</w:t>
            </w:r>
          </w:p>
          <w:p>
            <w:pPr>
              <w:jc w:val="center"/>
              <w:rPr>
                <w:rFonts w:hint="eastAsia" w:ascii="宋体" w:hAnsi="宋体" w:cs="宋体"/>
                <w:kern w:val="2"/>
                <w:sz w:val="21"/>
                <w:szCs w:val="21"/>
                <w:lang w:val="en-US" w:eastAsia="zh-CN" w:bidi="ar-SA"/>
              </w:rPr>
            </w:pPr>
            <w:r>
              <w:rPr>
                <w:rFonts w:hint="eastAsia" w:ascii="宋体" w:hAnsi="宋体"/>
                <w:sz w:val="18"/>
                <w:szCs w:val="18"/>
              </w:rPr>
              <w:t>（</w:t>
            </w:r>
            <w:r>
              <w:rPr>
                <w:rFonts w:hint="eastAsia" w:ascii="宋体" w:hAnsi="宋体"/>
                <w:sz w:val="18"/>
                <w:szCs w:val="18"/>
                <w:lang w:val="en-US" w:eastAsia="zh-CN"/>
              </w:rPr>
              <w:t>品目编码</w:t>
            </w:r>
            <w:r>
              <w:rPr>
                <w:rFonts w:hint="eastAsia" w:ascii="宋体" w:hAnsi="宋体"/>
                <w:sz w:val="18"/>
                <w:szCs w:val="18"/>
              </w:rPr>
              <w:t>）</w:t>
            </w:r>
          </w:p>
        </w:tc>
        <w:tc>
          <w:tcPr>
            <w:tcW w:w="3406"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eastAsia="宋体" w:cs="宋体"/>
                <w:kern w:val="2"/>
                <w:sz w:val="21"/>
                <w:szCs w:val="21"/>
                <w:lang w:val="en-US" w:eastAsia="zh-CN" w:bidi="ar-SA"/>
              </w:rPr>
            </w:pPr>
            <w:r>
              <w:rPr>
                <w:rFonts w:hint="eastAsia" w:ascii="宋体" w:hAnsi="宋体"/>
                <w:sz w:val="21"/>
                <w:szCs w:val="21"/>
                <w:lang w:val="en-US" w:eastAsia="zh-CN"/>
              </w:rPr>
              <w:t>技术要求、商务要求</w:t>
            </w:r>
          </w:p>
        </w:tc>
        <w:tc>
          <w:tcPr>
            <w:tcW w:w="47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kern w:val="2"/>
                <w:sz w:val="21"/>
                <w:szCs w:val="21"/>
                <w:lang w:val="en-US" w:eastAsia="zh-CN" w:bidi="ar-SA"/>
              </w:rPr>
            </w:pPr>
            <w:r>
              <w:rPr>
                <w:rFonts w:hint="eastAsia" w:ascii="宋体" w:hAnsi="宋体"/>
                <w:sz w:val="21"/>
                <w:szCs w:val="21"/>
              </w:rPr>
              <w:t>数量</w:t>
            </w:r>
          </w:p>
        </w:tc>
        <w:tc>
          <w:tcPr>
            <w:tcW w:w="4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kern w:val="2"/>
                <w:sz w:val="21"/>
                <w:szCs w:val="21"/>
                <w:lang w:val="en-US" w:eastAsia="zh-CN" w:bidi="ar-SA"/>
              </w:rPr>
            </w:pPr>
            <w:r>
              <w:rPr>
                <w:rFonts w:hint="eastAsia" w:ascii="宋体" w:hAnsi="宋体"/>
                <w:sz w:val="21"/>
                <w:szCs w:val="21"/>
              </w:rPr>
              <w:t>单位</w:t>
            </w:r>
          </w:p>
        </w:tc>
        <w:tc>
          <w:tcPr>
            <w:tcW w:w="5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kern w:val="2"/>
                <w:sz w:val="21"/>
                <w:szCs w:val="21"/>
                <w:lang w:val="en-US" w:eastAsia="zh-CN" w:bidi="ar-SA"/>
              </w:rPr>
            </w:pPr>
            <w:r>
              <w:rPr>
                <w:rFonts w:hint="eastAsia" w:ascii="宋体" w:hAnsi="宋体"/>
                <w:sz w:val="21"/>
                <w:szCs w:val="21"/>
              </w:rPr>
              <w:t>单价</w:t>
            </w:r>
          </w:p>
        </w:tc>
        <w:tc>
          <w:tcPr>
            <w:tcW w:w="59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kern w:val="2"/>
                <w:sz w:val="21"/>
                <w:szCs w:val="21"/>
                <w:lang w:val="en-US" w:eastAsia="zh-CN" w:bidi="ar-SA"/>
              </w:rPr>
            </w:pPr>
            <w:r>
              <w:rPr>
                <w:rFonts w:hint="eastAsia" w:ascii="宋体" w:hAnsi="宋体"/>
                <w:sz w:val="21"/>
                <w:szCs w:val="21"/>
              </w:rPr>
              <w:t>金额</w:t>
            </w:r>
          </w:p>
        </w:tc>
        <w:tc>
          <w:tcPr>
            <w:tcW w:w="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kern w:val="2"/>
                <w:sz w:val="21"/>
                <w:szCs w:val="21"/>
                <w:lang w:val="en-US" w:eastAsia="zh-CN" w:bidi="ar-SA"/>
              </w:rPr>
            </w:pPr>
            <w:r>
              <w:rPr>
                <w:rFonts w:hint="eastAsia" w:ascii="宋体" w:hAnsi="宋体"/>
                <w:sz w:val="21"/>
                <w:szCs w:val="21"/>
              </w:rPr>
              <w:t>是否进口</w:t>
            </w:r>
          </w:p>
        </w:tc>
        <w:tc>
          <w:tcPr>
            <w:tcW w:w="92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kern w:val="2"/>
                <w:sz w:val="21"/>
                <w:szCs w:val="21"/>
                <w:lang w:val="en-US" w:eastAsia="zh-CN" w:bidi="ar-SA"/>
              </w:rPr>
            </w:pPr>
            <w:r>
              <w:rPr>
                <w:rFonts w:hint="eastAsia" w:ascii="宋体" w:hAnsi="宋体"/>
                <w:sz w:val="21"/>
                <w:szCs w:val="21"/>
              </w:rPr>
              <w:t>使用人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2" w:hRule="atLeast"/>
        </w:trPr>
        <w:tc>
          <w:tcPr>
            <w:tcW w:w="7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Times New Roman"/>
                <w:sz w:val="18"/>
                <w:szCs w:val="18"/>
                <w:lang w:val="en-US" w:eastAsia="zh-CN"/>
              </w:rPr>
            </w:pPr>
            <w:r>
              <w:rPr>
                <w:rFonts w:hint="eastAsia" w:ascii="宋体" w:hAnsi="宋体" w:eastAsia="宋体" w:cs="Times New Roman"/>
                <w:sz w:val="18"/>
                <w:szCs w:val="18"/>
                <w:lang w:val="en-US" w:eastAsia="zh-CN"/>
              </w:rPr>
              <w:t>1</w:t>
            </w:r>
          </w:p>
        </w:tc>
        <w:tc>
          <w:tcPr>
            <w:tcW w:w="1297" w:type="dxa"/>
            <w:tcBorders>
              <w:top w:val="single" w:color="auto" w:sz="4" w:space="0"/>
              <w:left w:val="single" w:color="auto" w:sz="4" w:space="0"/>
              <w:bottom w:val="single" w:color="auto" w:sz="4" w:space="0"/>
              <w:right w:val="single" w:color="auto" w:sz="4" w:space="0"/>
            </w:tcBorders>
            <w:noWrap w:val="0"/>
            <w:vAlign w:val="center"/>
          </w:tcPr>
          <w:p>
            <w:pPr>
              <w:pStyle w:val="2"/>
              <w:jc w:val="both"/>
              <w:rPr>
                <w:rFonts w:hint="eastAsia"/>
                <w:color w:val="FF0000"/>
                <w:sz w:val="18"/>
                <w:szCs w:val="18"/>
              </w:rPr>
            </w:pPr>
          </w:p>
        </w:tc>
        <w:tc>
          <w:tcPr>
            <w:tcW w:w="3406"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hint="eastAsia" w:ascii="宋体" w:hAnsi="宋体"/>
                <w:color w:val="FF0000"/>
                <w:sz w:val="18"/>
                <w:szCs w:val="18"/>
              </w:rPr>
            </w:pPr>
          </w:p>
        </w:tc>
        <w:tc>
          <w:tcPr>
            <w:tcW w:w="47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FF0000"/>
                <w:sz w:val="18"/>
                <w:szCs w:val="18"/>
              </w:rPr>
            </w:pPr>
          </w:p>
        </w:tc>
        <w:tc>
          <w:tcPr>
            <w:tcW w:w="45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FF0000"/>
                <w:sz w:val="18"/>
                <w:szCs w:val="18"/>
              </w:rPr>
            </w:pPr>
          </w:p>
        </w:tc>
        <w:tc>
          <w:tcPr>
            <w:tcW w:w="556"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b/>
                <w:szCs w:val="28"/>
              </w:rPr>
            </w:pPr>
          </w:p>
        </w:tc>
        <w:tc>
          <w:tcPr>
            <w:tcW w:w="59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宋体" w:hAnsi="宋体"/>
                <w:szCs w:val="18"/>
              </w:rPr>
            </w:pPr>
          </w:p>
        </w:tc>
        <w:tc>
          <w:tcPr>
            <w:tcW w:w="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宋体" w:hAnsi="宋体"/>
                <w:color w:val="FF0000"/>
                <w:szCs w:val="18"/>
              </w:rPr>
            </w:pPr>
          </w:p>
        </w:tc>
        <w:tc>
          <w:tcPr>
            <w:tcW w:w="9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宋体" w:hAnsi="宋体"/>
                <w:color w:val="FF0000"/>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2" w:hRule="atLeast"/>
        </w:trPr>
        <w:tc>
          <w:tcPr>
            <w:tcW w:w="7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Times New Roman"/>
                <w:sz w:val="18"/>
                <w:szCs w:val="18"/>
                <w:lang w:val="en-US" w:eastAsia="zh-CN"/>
              </w:rPr>
            </w:pPr>
            <w:r>
              <w:rPr>
                <w:rFonts w:hint="eastAsia" w:ascii="宋体" w:hAnsi="宋体" w:eastAsia="宋体" w:cs="Times New Roman"/>
                <w:sz w:val="18"/>
                <w:szCs w:val="18"/>
                <w:lang w:val="en-US" w:eastAsia="zh-CN"/>
              </w:rPr>
              <w:t>2</w:t>
            </w:r>
          </w:p>
        </w:tc>
        <w:tc>
          <w:tcPr>
            <w:tcW w:w="1297" w:type="dxa"/>
            <w:tcBorders>
              <w:top w:val="single" w:color="auto" w:sz="4" w:space="0"/>
              <w:left w:val="single" w:color="auto" w:sz="4" w:space="0"/>
              <w:bottom w:val="single" w:color="auto" w:sz="4" w:space="0"/>
              <w:right w:val="single" w:color="auto" w:sz="4" w:space="0"/>
            </w:tcBorders>
            <w:noWrap w:val="0"/>
            <w:vAlign w:val="center"/>
          </w:tcPr>
          <w:p>
            <w:pPr>
              <w:pStyle w:val="2"/>
              <w:jc w:val="both"/>
              <w:rPr>
                <w:rFonts w:hint="eastAsia"/>
                <w:color w:val="FF0000"/>
                <w:sz w:val="18"/>
                <w:szCs w:val="18"/>
              </w:rPr>
            </w:pPr>
          </w:p>
        </w:tc>
        <w:tc>
          <w:tcPr>
            <w:tcW w:w="3406"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hint="eastAsia" w:ascii="宋体" w:hAnsi="宋体"/>
                <w:color w:val="FF0000"/>
                <w:sz w:val="18"/>
                <w:szCs w:val="18"/>
              </w:rPr>
            </w:pPr>
          </w:p>
        </w:tc>
        <w:tc>
          <w:tcPr>
            <w:tcW w:w="47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FF0000"/>
                <w:sz w:val="18"/>
                <w:szCs w:val="18"/>
              </w:rPr>
            </w:pPr>
          </w:p>
        </w:tc>
        <w:tc>
          <w:tcPr>
            <w:tcW w:w="45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FF0000"/>
                <w:sz w:val="18"/>
                <w:szCs w:val="18"/>
              </w:rPr>
            </w:pPr>
          </w:p>
        </w:tc>
        <w:tc>
          <w:tcPr>
            <w:tcW w:w="556"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b/>
                <w:szCs w:val="28"/>
              </w:rPr>
            </w:pPr>
          </w:p>
        </w:tc>
        <w:tc>
          <w:tcPr>
            <w:tcW w:w="59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宋体" w:hAnsi="宋体"/>
                <w:szCs w:val="18"/>
              </w:rPr>
            </w:pPr>
          </w:p>
        </w:tc>
        <w:tc>
          <w:tcPr>
            <w:tcW w:w="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宋体" w:hAnsi="宋体"/>
                <w:color w:val="FF0000"/>
                <w:szCs w:val="18"/>
              </w:rPr>
            </w:pPr>
          </w:p>
        </w:tc>
        <w:tc>
          <w:tcPr>
            <w:tcW w:w="9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宋体" w:hAnsi="宋体"/>
                <w:color w:val="FF0000"/>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2" w:hRule="atLeast"/>
        </w:trPr>
        <w:tc>
          <w:tcPr>
            <w:tcW w:w="762"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ind w:left="0" w:leftChars="0" w:firstLine="0" w:firstLineChars="0"/>
              <w:jc w:val="center"/>
              <w:rPr>
                <w:rFonts w:hint="eastAsia"/>
                <w:b w:val="0"/>
                <w:bCs w:val="0"/>
                <w:kern w:val="2"/>
                <w:sz w:val="21"/>
                <w:szCs w:val="21"/>
                <w:u w:val="none"/>
                <w:vertAlign w:val="baseline"/>
                <w:lang w:val="en-US" w:eastAsia="zh-CN" w:bidi="ar-SA"/>
              </w:rPr>
            </w:pPr>
            <w:r>
              <w:rPr>
                <w:rFonts w:hint="eastAsia"/>
                <w:b w:val="0"/>
                <w:bCs w:val="0"/>
                <w:sz w:val="21"/>
                <w:szCs w:val="21"/>
                <w:u w:val="none"/>
                <w:vertAlign w:val="baseline"/>
                <w:lang w:val="en-US" w:eastAsia="zh-CN"/>
              </w:rPr>
              <w:t>……</w:t>
            </w:r>
          </w:p>
        </w:tc>
        <w:tc>
          <w:tcPr>
            <w:tcW w:w="1297"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ind w:left="0" w:leftChars="0" w:firstLine="0" w:firstLineChars="0"/>
              <w:jc w:val="center"/>
              <w:rPr>
                <w:rFonts w:hint="eastAsia"/>
                <w:b w:val="0"/>
                <w:bCs w:val="0"/>
                <w:kern w:val="2"/>
                <w:sz w:val="21"/>
                <w:szCs w:val="21"/>
                <w:u w:val="none"/>
                <w:vertAlign w:val="baseline"/>
                <w:lang w:val="en-US" w:eastAsia="zh-CN" w:bidi="ar-SA"/>
              </w:rPr>
            </w:pPr>
            <w:r>
              <w:rPr>
                <w:rFonts w:hint="eastAsia"/>
                <w:b w:val="0"/>
                <w:bCs w:val="0"/>
                <w:sz w:val="21"/>
                <w:szCs w:val="21"/>
                <w:u w:val="none"/>
                <w:vertAlign w:val="baseline"/>
                <w:lang w:val="en-US" w:eastAsia="zh-CN"/>
              </w:rPr>
              <w:t>……</w:t>
            </w:r>
          </w:p>
        </w:tc>
        <w:tc>
          <w:tcPr>
            <w:tcW w:w="3406"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ind w:left="0" w:leftChars="0" w:firstLine="0" w:firstLineChars="0"/>
              <w:jc w:val="center"/>
              <w:rPr>
                <w:rFonts w:hint="eastAsia"/>
                <w:b w:val="0"/>
                <w:bCs w:val="0"/>
                <w:kern w:val="2"/>
                <w:sz w:val="21"/>
                <w:szCs w:val="21"/>
                <w:u w:val="none"/>
                <w:vertAlign w:val="baseline"/>
                <w:lang w:val="en-US" w:eastAsia="zh-CN" w:bidi="ar-SA"/>
              </w:rPr>
            </w:pPr>
            <w:r>
              <w:rPr>
                <w:rFonts w:hint="eastAsia"/>
                <w:b w:val="0"/>
                <w:bCs w:val="0"/>
                <w:sz w:val="21"/>
                <w:szCs w:val="21"/>
                <w:u w:val="none"/>
                <w:vertAlign w:val="baseline"/>
                <w:lang w:val="en-US" w:eastAsia="zh-CN"/>
              </w:rPr>
              <w:t>……</w:t>
            </w:r>
          </w:p>
        </w:tc>
        <w:tc>
          <w:tcPr>
            <w:tcW w:w="47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FF0000"/>
                <w:sz w:val="18"/>
                <w:szCs w:val="18"/>
              </w:rPr>
            </w:pPr>
          </w:p>
        </w:tc>
        <w:tc>
          <w:tcPr>
            <w:tcW w:w="45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FF0000"/>
                <w:sz w:val="18"/>
                <w:szCs w:val="18"/>
              </w:rPr>
            </w:pPr>
          </w:p>
        </w:tc>
        <w:tc>
          <w:tcPr>
            <w:tcW w:w="556"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b/>
                <w:szCs w:val="28"/>
              </w:rPr>
            </w:pPr>
          </w:p>
        </w:tc>
        <w:tc>
          <w:tcPr>
            <w:tcW w:w="59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宋体" w:hAnsi="宋体"/>
                <w:szCs w:val="18"/>
              </w:rPr>
            </w:pPr>
          </w:p>
        </w:tc>
        <w:tc>
          <w:tcPr>
            <w:tcW w:w="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宋体" w:hAnsi="宋体"/>
                <w:color w:val="FF0000"/>
                <w:szCs w:val="18"/>
              </w:rPr>
            </w:pPr>
          </w:p>
        </w:tc>
        <w:tc>
          <w:tcPr>
            <w:tcW w:w="9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宋体" w:hAnsi="宋体"/>
                <w:color w:val="FF0000"/>
                <w:szCs w:val="18"/>
              </w:rPr>
            </w:pPr>
          </w:p>
        </w:tc>
      </w:tr>
    </w:tbl>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b/>
          <w:bCs/>
          <w:i/>
          <w:iCs/>
          <w:sz w:val="24"/>
          <w:szCs w:val="24"/>
          <w:lang w:val="en-US" w:eastAsia="zh-CN"/>
        </w:rPr>
      </w:pPr>
      <w:r>
        <w:rPr>
          <w:rFonts w:hint="eastAsia"/>
          <w:b w:val="0"/>
          <w:bCs w:val="0"/>
          <w:i/>
          <w:iCs/>
          <w:color w:val="FF0000"/>
          <w:sz w:val="24"/>
          <w:szCs w:val="24"/>
          <w:lang w:val="en-US" w:eastAsia="zh-CN"/>
        </w:rPr>
        <w:t>（说明：以上表格主要供货物类采购需求使用，工程类、服务类可删除此表，直接写出采购内容，工程类应含工程量清单、图纸。请项目单位认真调研，根据调研结果，制定科学、合理、合规、完整、明确的采购需求，因采购需求缺陷导致采购和履约出现问题，责任由项目单位承担。）</w:t>
      </w:r>
    </w:p>
    <w:p>
      <w:pPr>
        <w:rPr>
          <w:rFonts w:hint="default"/>
          <w:b/>
          <w:bCs/>
          <w:sz w:val="28"/>
          <w:szCs w:val="28"/>
          <w:u w:val="none"/>
          <w:lang w:val="en-US" w:eastAsia="zh-CN"/>
        </w:rPr>
      </w:pPr>
      <w:r>
        <w:rPr>
          <w:rFonts w:hint="eastAsia"/>
          <w:b/>
          <w:bCs/>
          <w:sz w:val="28"/>
          <w:szCs w:val="28"/>
          <w:lang w:val="en-US" w:eastAsia="zh-CN"/>
        </w:rPr>
        <w:t>十一</w:t>
      </w:r>
      <w:r>
        <w:rPr>
          <w:rFonts w:hint="eastAsia"/>
          <w:b/>
          <w:bCs/>
          <w:sz w:val="28"/>
          <w:szCs w:val="28"/>
        </w:rPr>
        <w:t>、</w:t>
      </w:r>
      <w:r>
        <w:rPr>
          <w:rFonts w:hint="eastAsia"/>
          <w:b/>
          <w:bCs/>
          <w:sz w:val="28"/>
          <w:szCs w:val="28"/>
          <w:lang w:val="en-US" w:eastAsia="zh-CN"/>
        </w:rPr>
        <w:t>采购时间安排：</w:t>
      </w:r>
      <w:r>
        <w:rPr>
          <w:rFonts w:hint="eastAsia"/>
          <w:b w:val="0"/>
          <w:bCs w:val="0"/>
          <w:sz w:val="28"/>
          <w:szCs w:val="28"/>
          <w:u w:val="single"/>
          <w:lang w:val="en-US" w:eastAsia="zh-CN"/>
        </w:rPr>
        <w:t xml:space="preserve">       </w:t>
      </w:r>
      <w:r>
        <w:rPr>
          <w:rFonts w:hint="eastAsia"/>
          <w:b w:val="0"/>
          <w:bCs w:val="0"/>
          <w:sz w:val="28"/>
          <w:szCs w:val="28"/>
          <w:u w:val="none"/>
          <w:lang w:val="en-US" w:eastAsia="zh-CN"/>
        </w:rPr>
        <w:t>年</w:t>
      </w:r>
      <w:r>
        <w:rPr>
          <w:rFonts w:hint="eastAsia"/>
          <w:b w:val="0"/>
          <w:bCs w:val="0"/>
          <w:sz w:val="28"/>
          <w:szCs w:val="28"/>
          <w:u w:val="single"/>
          <w:lang w:val="en-US" w:eastAsia="zh-CN"/>
        </w:rPr>
        <w:t xml:space="preserve">      </w:t>
      </w:r>
      <w:r>
        <w:rPr>
          <w:rFonts w:hint="eastAsia"/>
          <w:b w:val="0"/>
          <w:bCs w:val="0"/>
          <w:sz w:val="28"/>
          <w:szCs w:val="28"/>
          <w:u w:val="none"/>
          <w:lang w:val="en-US" w:eastAsia="zh-CN"/>
        </w:rPr>
        <w:t>月</w:t>
      </w:r>
    </w:p>
    <w:p>
      <w:pPr>
        <w:rPr>
          <w:rFonts w:hint="eastAsia" w:ascii="宋体" w:hAnsi="宋体" w:eastAsia="宋体" w:cs="宋体"/>
          <w:color w:val="auto"/>
          <w:sz w:val="24"/>
          <w:szCs w:val="24"/>
          <w:lang w:val="en-US" w:eastAsia="zh-CN"/>
        </w:rPr>
      </w:pPr>
      <w:r>
        <w:rPr>
          <w:rFonts w:hint="eastAsia"/>
          <w:b/>
          <w:bCs/>
          <w:color w:val="auto"/>
          <w:sz w:val="28"/>
          <w:szCs w:val="28"/>
          <w:lang w:val="en-US" w:eastAsia="zh-CN"/>
        </w:rPr>
        <w:t>十二、采购组织形式：</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政府集中采购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政府分散采购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校级集中采购</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i/>
          <w:iCs/>
          <w:color w:val="FF0000"/>
          <w:sz w:val="24"/>
          <w:szCs w:val="24"/>
          <w:lang w:val="en-US" w:eastAsia="zh-CN"/>
        </w:rPr>
      </w:pPr>
      <w:r>
        <w:rPr>
          <w:rFonts w:hint="eastAsia" w:ascii="宋体" w:hAnsi="宋体" w:eastAsia="宋体" w:cs="宋体"/>
          <w:i/>
          <w:iCs/>
          <w:color w:val="FF0000"/>
          <w:sz w:val="24"/>
          <w:szCs w:val="24"/>
          <w:lang w:val="en-US" w:eastAsia="zh-CN"/>
        </w:rPr>
        <w:t>（根据国资处网站规章制度省厅文件《安徽省政府集中采购目录及标准》确定）</w:t>
      </w:r>
    </w:p>
    <w:p>
      <w:pPr>
        <w:rPr>
          <w:rFonts w:hint="eastAsia"/>
          <w:b/>
          <w:bCs/>
          <w:sz w:val="28"/>
          <w:szCs w:val="28"/>
          <w:lang w:val="en-US" w:eastAsia="zh-CN"/>
        </w:rPr>
      </w:pPr>
      <w:r>
        <w:rPr>
          <w:rFonts w:hint="eastAsia"/>
          <w:b/>
          <w:bCs/>
          <w:sz w:val="28"/>
          <w:szCs w:val="28"/>
          <w:lang w:val="en-US" w:eastAsia="zh-CN"/>
        </w:rPr>
        <w:t>十三、采购方式：</w:t>
      </w:r>
    </w:p>
    <w:p>
      <w:pPr>
        <w:keepNext w:val="0"/>
        <w:keepLines w:val="0"/>
        <w:pageBreakBefore w:val="0"/>
        <w:widowControl w:val="0"/>
        <w:kinsoku/>
        <w:wordWrap/>
        <w:overflowPunct/>
        <w:topLinePunct w:val="0"/>
        <w:autoSpaceDE/>
        <w:autoSpaceDN/>
        <w:bidi w:val="0"/>
        <w:adjustRightInd/>
        <w:snapToGrid w:val="0"/>
        <w:spacing w:line="30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□公开招标   □邀请招标    □询价      □竞争性磋商  □竞争性谈判  </w:t>
      </w:r>
    </w:p>
    <w:p>
      <w:pPr>
        <w:keepNext w:val="0"/>
        <w:keepLines w:val="0"/>
        <w:pageBreakBefore w:val="0"/>
        <w:widowControl w:val="0"/>
        <w:kinsoku/>
        <w:wordWrap/>
        <w:overflowPunct/>
        <w:topLinePunct w:val="0"/>
        <w:autoSpaceDE/>
        <w:autoSpaceDN/>
        <w:bidi w:val="0"/>
        <w:adjustRightInd/>
        <w:snapToGrid w:val="0"/>
        <w:spacing w:line="30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□单一来源   □框架协议    □直接采购  □市场比选    □商谈采购  </w:t>
      </w:r>
    </w:p>
    <w:p>
      <w:pPr>
        <w:keepNext w:val="0"/>
        <w:keepLines w:val="0"/>
        <w:pageBreakBefore w:val="0"/>
        <w:widowControl w:val="0"/>
        <w:kinsoku/>
        <w:wordWrap/>
        <w:overflowPunct/>
        <w:topLinePunct w:val="0"/>
        <w:autoSpaceDE/>
        <w:autoSpaceDN/>
        <w:bidi w:val="0"/>
        <w:adjustRightInd/>
        <w:snapToGrid w:val="0"/>
        <w:spacing w:line="30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□网络平台采购     </w:t>
      </w:r>
      <w:r>
        <w:rPr>
          <w:rFonts w:hint="eastAsia" w:ascii="宋体" w:hAnsi="宋体" w:eastAsia="宋体" w:cs="宋体"/>
          <w:sz w:val="24"/>
          <w:szCs w:val="24"/>
        </w:rPr>
        <w:t>□其他采购方式：</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val="0"/>
        <w:spacing w:line="300" w:lineRule="auto"/>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选择采购方式的理由：</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val="0"/>
        <w:spacing w:line="300" w:lineRule="auto"/>
        <w:ind w:firstLine="480" w:firstLineChars="200"/>
        <w:jc w:val="left"/>
        <w:textAlignment w:val="auto"/>
        <w:rPr>
          <w:rFonts w:hint="eastAsia" w:ascii="宋体" w:hAnsi="宋体" w:eastAsia="宋体" w:cs="宋体"/>
          <w:i/>
          <w:iCs/>
          <w:color w:val="FF0000"/>
          <w:sz w:val="24"/>
          <w:szCs w:val="24"/>
          <w:u w:val="single"/>
          <w:lang w:val="en-US" w:eastAsia="zh-CN"/>
        </w:rPr>
      </w:pPr>
      <w:r>
        <w:rPr>
          <w:rFonts w:hint="eastAsia" w:ascii="宋体" w:hAnsi="宋体" w:eastAsia="宋体" w:cs="宋体"/>
          <w:i/>
          <w:iCs/>
          <w:color w:val="FF0000"/>
          <w:sz w:val="24"/>
          <w:szCs w:val="24"/>
          <w:u w:val="single"/>
          <w:lang w:eastAsia="zh-CN"/>
        </w:rPr>
        <w:t>（</w:t>
      </w:r>
      <w:r>
        <w:rPr>
          <w:rFonts w:hint="eastAsia" w:ascii="宋体" w:hAnsi="宋体" w:eastAsia="宋体" w:cs="宋体"/>
          <w:i/>
          <w:iCs/>
          <w:color w:val="FF0000"/>
          <w:sz w:val="24"/>
          <w:szCs w:val="24"/>
          <w:u w:val="single"/>
          <w:lang w:val="en-US" w:eastAsia="zh-CN"/>
        </w:rPr>
        <w:t>说明：公开招标是政府采购的主要方式，政府采购货物、服务项目，单项预算达到400万，必须采用公开招标采购方式。</w:t>
      </w:r>
    </w:p>
    <w:p>
      <w:pPr>
        <w:keepNext w:val="0"/>
        <w:keepLines w:val="0"/>
        <w:pageBreakBefore w:val="0"/>
        <w:widowControl w:val="0"/>
        <w:kinsoku/>
        <w:wordWrap/>
        <w:overflowPunct/>
        <w:topLinePunct w:val="0"/>
        <w:autoSpaceDE/>
        <w:autoSpaceDN/>
        <w:bidi w:val="0"/>
        <w:adjustRightInd/>
        <w:snapToGrid w:val="0"/>
        <w:spacing w:line="300" w:lineRule="auto"/>
        <w:ind w:firstLine="480" w:firstLineChars="200"/>
        <w:jc w:val="left"/>
        <w:textAlignment w:val="auto"/>
        <w:rPr>
          <w:rFonts w:hint="eastAsia" w:ascii="宋体" w:hAnsi="宋体" w:eastAsia="宋体" w:cs="宋体"/>
          <w:i/>
          <w:iCs/>
          <w:color w:val="FF0000"/>
          <w:sz w:val="24"/>
          <w:szCs w:val="24"/>
          <w:u w:val="single"/>
          <w:lang w:val="en-US" w:eastAsia="zh-CN"/>
        </w:rPr>
      </w:pPr>
      <w:r>
        <w:rPr>
          <w:rFonts w:hint="eastAsia" w:ascii="宋体" w:hAnsi="宋体" w:eastAsia="宋体" w:cs="宋体"/>
          <w:i/>
          <w:iCs/>
          <w:color w:val="FF0000"/>
          <w:sz w:val="24"/>
          <w:szCs w:val="24"/>
          <w:u w:val="single"/>
          <w:lang w:val="en-US" w:eastAsia="zh-CN"/>
        </w:rPr>
        <w:t>邀请招标方式：1、具有特殊性，只能从有限范围的供应商除采购；2、或采用公开招标方式的费用占政府采购项目总价值的比例过大的。</w:t>
      </w:r>
    </w:p>
    <w:p>
      <w:pPr>
        <w:keepNext w:val="0"/>
        <w:keepLines w:val="0"/>
        <w:pageBreakBefore w:val="0"/>
        <w:widowControl w:val="0"/>
        <w:kinsoku/>
        <w:wordWrap/>
        <w:overflowPunct/>
        <w:topLinePunct w:val="0"/>
        <w:autoSpaceDE/>
        <w:autoSpaceDN/>
        <w:bidi w:val="0"/>
        <w:adjustRightInd/>
        <w:snapToGrid w:val="0"/>
        <w:spacing w:line="300" w:lineRule="auto"/>
        <w:ind w:firstLine="480" w:firstLineChars="200"/>
        <w:jc w:val="left"/>
        <w:textAlignment w:val="auto"/>
        <w:rPr>
          <w:rFonts w:hint="eastAsia" w:ascii="宋体" w:hAnsi="宋体" w:eastAsia="宋体" w:cs="宋体"/>
          <w:i/>
          <w:iCs/>
          <w:color w:val="FF0000"/>
          <w:sz w:val="24"/>
          <w:szCs w:val="24"/>
          <w:u w:val="single"/>
          <w:lang w:val="en-US" w:eastAsia="zh-CN"/>
        </w:rPr>
      </w:pPr>
      <w:r>
        <w:rPr>
          <w:rFonts w:hint="eastAsia" w:ascii="宋体" w:hAnsi="宋体" w:eastAsia="宋体" w:cs="宋体"/>
          <w:i/>
          <w:iCs/>
          <w:color w:val="FF0000"/>
          <w:sz w:val="24"/>
          <w:szCs w:val="24"/>
          <w:u w:val="single"/>
          <w:lang w:val="en-US" w:eastAsia="zh-CN"/>
        </w:rPr>
        <w:t>竞争性谈判：1、招标后没有供应商投标或者没有合格标的或者重新招标未能成立的；2、或技术复杂或者性质特殊，不能确定详细规格或者具体要求的；3、或采用招标所需时间不能满足用户紧急需要的；4、或不能事先计算出价格总额的。</w:t>
      </w:r>
    </w:p>
    <w:p>
      <w:pPr>
        <w:keepNext w:val="0"/>
        <w:keepLines w:val="0"/>
        <w:pageBreakBefore w:val="0"/>
        <w:widowControl w:val="0"/>
        <w:kinsoku/>
        <w:wordWrap/>
        <w:overflowPunct/>
        <w:topLinePunct w:val="0"/>
        <w:autoSpaceDE/>
        <w:autoSpaceDN/>
        <w:bidi w:val="0"/>
        <w:adjustRightInd/>
        <w:snapToGrid w:val="0"/>
        <w:spacing w:line="300" w:lineRule="auto"/>
        <w:ind w:firstLine="480" w:firstLineChars="200"/>
        <w:jc w:val="left"/>
        <w:textAlignment w:val="auto"/>
        <w:rPr>
          <w:rFonts w:hint="eastAsia" w:ascii="宋体" w:hAnsi="宋体" w:eastAsia="宋体" w:cs="宋体"/>
          <w:i/>
          <w:iCs/>
          <w:color w:val="FF0000"/>
          <w:sz w:val="24"/>
          <w:szCs w:val="24"/>
          <w:u w:val="single"/>
          <w:lang w:val="en-US" w:eastAsia="zh-CN"/>
        </w:rPr>
      </w:pPr>
      <w:r>
        <w:rPr>
          <w:rFonts w:hint="eastAsia" w:ascii="宋体" w:hAnsi="宋体" w:eastAsia="宋体" w:cs="宋体"/>
          <w:i/>
          <w:iCs/>
          <w:color w:val="FF0000"/>
          <w:sz w:val="24"/>
          <w:szCs w:val="24"/>
          <w:u w:val="single"/>
          <w:lang w:val="en-US" w:eastAsia="zh-CN"/>
        </w:rPr>
        <w:t>单一来源采购：1、只能从唯一供应商处采购的；2、或发生了不可预见的紧急情况不能从其他供应商处采购的；3、或必须保证原有采购项目一致性或者服务配套的要求，需要继续从原供应商处添购，且添购资金总额不超过原合同采购金额百分之十的。</w:t>
      </w:r>
    </w:p>
    <w:p>
      <w:pPr>
        <w:keepNext w:val="0"/>
        <w:keepLines w:val="0"/>
        <w:pageBreakBefore w:val="0"/>
        <w:widowControl w:val="0"/>
        <w:kinsoku/>
        <w:wordWrap/>
        <w:overflowPunct/>
        <w:topLinePunct w:val="0"/>
        <w:autoSpaceDE/>
        <w:autoSpaceDN/>
        <w:bidi w:val="0"/>
        <w:adjustRightInd/>
        <w:snapToGrid w:val="0"/>
        <w:spacing w:line="300" w:lineRule="auto"/>
        <w:ind w:firstLine="480" w:firstLineChars="200"/>
        <w:jc w:val="left"/>
        <w:textAlignment w:val="auto"/>
        <w:rPr>
          <w:rFonts w:hint="eastAsia" w:ascii="宋体" w:hAnsi="宋体" w:eastAsia="宋体" w:cs="宋体"/>
          <w:i/>
          <w:iCs/>
          <w:color w:val="FF0000"/>
          <w:sz w:val="24"/>
          <w:szCs w:val="24"/>
          <w:u w:val="single"/>
          <w:lang w:val="en-US" w:eastAsia="zh-CN"/>
        </w:rPr>
      </w:pPr>
      <w:r>
        <w:rPr>
          <w:rFonts w:hint="eastAsia" w:ascii="宋体" w:hAnsi="宋体" w:eastAsia="宋体" w:cs="宋体"/>
          <w:i/>
          <w:iCs/>
          <w:color w:val="FF0000"/>
          <w:sz w:val="24"/>
          <w:szCs w:val="24"/>
          <w:u w:val="single"/>
          <w:lang w:val="en-US" w:eastAsia="zh-CN"/>
        </w:rPr>
        <w:t>询价：采购的货物规格、标准统一、现货货源充足且价格变化幅度小的政府采购项目。</w:t>
      </w:r>
    </w:p>
    <w:p>
      <w:pPr>
        <w:keepNext w:val="0"/>
        <w:keepLines w:val="0"/>
        <w:pageBreakBefore w:val="0"/>
        <w:widowControl w:val="0"/>
        <w:kinsoku/>
        <w:wordWrap/>
        <w:overflowPunct/>
        <w:topLinePunct w:val="0"/>
        <w:autoSpaceDE/>
        <w:autoSpaceDN/>
        <w:bidi w:val="0"/>
        <w:adjustRightInd/>
        <w:snapToGrid w:val="0"/>
        <w:spacing w:line="300" w:lineRule="auto"/>
        <w:ind w:firstLine="480" w:firstLineChars="200"/>
        <w:jc w:val="left"/>
        <w:textAlignment w:val="auto"/>
        <w:rPr>
          <w:rFonts w:hint="eastAsia" w:ascii="宋体" w:hAnsi="宋体" w:eastAsia="宋体" w:cs="宋体"/>
          <w:i/>
          <w:iCs/>
          <w:color w:val="FF0000"/>
          <w:sz w:val="24"/>
          <w:szCs w:val="24"/>
          <w:u w:val="single"/>
          <w:lang w:val="en-US" w:eastAsia="zh-CN"/>
        </w:rPr>
      </w:pPr>
      <w:r>
        <w:rPr>
          <w:rFonts w:hint="eastAsia" w:ascii="宋体" w:hAnsi="宋体" w:eastAsia="宋体" w:cs="宋体"/>
          <w:i/>
          <w:iCs/>
          <w:color w:val="FF0000"/>
          <w:sz w:val="24"/>
          <w:szCs w:val="24"/>
          <w:u w:val="single"/>
          <w:lang w:val="en-US" w:eastAsia="zh-CN"/>
        </w:rPr>
        <w:t>竞争性磋商：1、政府购买服务（高校不属于政府，不建议选此项）；2、或技术复杂或性质特殊，不能确定详细规格或者具体要求的；或因艺术品采购、专利、专有技术或者服务的时间、数量事先不能确定等原因不能事先计算出价格总额的；3、市场竞争不充分的科研项目，以及需要扶持的科技成果转化项目；4、或按照招标投标法及其实施条例必须进行招标的工程建设项目以外的工程建设项目。</w:t>
      </w:r>
    </w:p>
    <w:p>
      <w:pPr>
        <w:keepNext w:val="0"/>
        <w:keepLines w:val="0"/>
        <w:pageBreakBefore w:val="0"/>
        <w:widowControl w:val="0"/>
        <w:kinsoku/>
        <w:wordWrap/>
        <w:overflowPunct/>
        <w:topLinePunct w:val="0"/>
        <w:autoSpaceDE/>
        <w:autoSpaceDN/>
        <w:bidi w:val="0"/>
        <w:adjustRightInd/>
        <w:snapToGrid w:val="0"/>
        <w:spacing w:line="300" w:lineRule="auto"/>
        <w:ind w:firstLine="480" w:firstLineChars="200"/>
        <w:jc w:val="left"/>
        <w:textAlignment w:val="auto"/>
        <w:rPr>
          <w:rFonts w:hint="eastAsia" w:ascii="宋体" w:hAnsi="宋体" w:eastAsia="宋体" w:cs="宋体"/>
          <w:i/>
          <w:iCs/>
          <w:sz w:val="24"/>
          <w:szCs w:val="24"/>
          <w:u w:val="single"/>
        </w:rPr>
      </w:pPr>
      <w:r>
        <w:rPr>
          <w:rFonts w:hint="eastAsia" w:ascii="宋体" w:hAnsi="宋体" w:eastAsia="宋体" w:cs="宋体"/>
          <w:i/>
          <w:iCs/>
          <w:color w:val="FF0000"/>
          <w:sz w:val="24"/>
          <w:szCs w:val="24"/>
          <w:u w:val="single"/>
          <w:lang w:eastAsia="zh-CN"/>
        </w:rPr>
        <w:t>直接采购、市场比选、商谈采购、网络平台采购</w:t>
      </w:r>
      <w:r>
        <w:rPr>
          <w:rFonts w:hint="eastAsia" w:ascii="宋体" w:hAnsi="宋体" w:eastAsia="宋体" w:cs="宋体"/>
          <w:i/>
          <w:iCs/>
          <w:color w:val="FF0000"/>
          <w:sz w:val="24"/>
          <w:szCs w:val="24"/>
          <w:u w:val="single"/>
          <w:lang w:val="en-US" w:eastAsia="zh-CN"/>
        </w:rPr>
        <w:t>适用于校级集中采购及项目单位自行采购。</w:t>
      </w:r>
      <w:r>
        <w:rPr>
          <w:rFonts w:hint="eastAsia" w:ascii="宋体" w:hAnsi="宋体" w:eastAsia="宋体" w:cs="宋体"/>
          <w:i/>
          <w:iCs/>
          <w:color w:val="FF0000"/>
          <w:sz w:val="24"/>
          <w:szCs w:val="24"/>
          <w:u w:val="single"/>
          <w:lang w:eastAsia="zh-CN"/>
        </w:rPr>
        <w:t>）</w:t>
      </w:r>
    </w:p>
    <w:p>
      <w:pPr>
        <w:numPr>
          <w:ilvl w:val="0"/>
          <w:numId w:val="0"/>
        </w:numPr>
        <w:rPr>
          <w:rFonts w:hint="eastAsia"/>
          <w:sz w:val="28"/>
          <w:szCs w:val="28"/>
        </w:rPr>
      </w:pPr>
      <w:r>
        <w:rPr>
          <w:rFonts w:hint="eastAsia"/>
          <w:b/>
          <w:bCs/>
          <w:sz w:val="28"/>
          <w:szCs w:val="28"/>
          <w:lang w:val="en-US" w:eastAsia="zh-CN"/>
        </w:rPr>
        <w:t>十四</w:t>
      </w:r>
      <w:r>
        <w:rPr>
          <w:rFonts w:hint="eastAsia"/>
          <w:b/>
          <w:bCs/>
          <w:sz w:val="28"/>
          <w:szCs w:val="28"/>
        </w:rPr>
        <w:t>、</w:t>
      </w:r>
      <w:r>
        <w:rPr>
          <w:rFonts w:hint="eastAsia"/>
          <w:b/>
          <w:bCs/>
          <w:sz w:val="28"/>
          <w:szCs w:val="28"/>
          <w:lang w:val="en-US" w:eastAsia="zh-CN"/>
        </w:rPr>
        <w:t>评审规则</w:t>
      </w:r>
      <w:r>
        <w:rPr>
          <w:rFonts w:hint="eastAsia"/>
          <w:b/>
          <w:bCs/>
          <w:sz w:val="28"/>
          <w:szCs w:val="28"/>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仿宋" w:hAnsi="仿宋" w:eastAsia="仿宋" w:cs="仿宋"/>
          <w:b w:val="0"/>
          <w:bCs/>
          <w:color w:val="auto"/>
          <w:sz w:val="21"/>
          <w:szCs w:val="21"/>
          <w:lang w:val="en-US" w:eastAsia="zh-CN"/>
        </w:rPr>
      </w:pPr>
      <w:r>
        <w:rPr>
          <w:rFonts w:hint="eastAsia" w:ascii="仿宋" w:hAnsi="仿宋" w:eastAsia="仿宋" w:cs="仿宋"/>
          <w:b w:val="0"/>
          <w:bCs/>
          <w:color w:val="auto"/>
          <w:sz w:val="21"/>
          <w:szCs w:val="21"/>
        </w:rPr>
        <w:t>货物</w:t>
      </w:r>
      <w:r>
        <w:rPr>
          <w:rFonts w:hint="eastAsia" w:ascii="仿宋" w:hAnsi="仿宋" w:eastAsia="仿宋" w:cs="仿宋"/>
          <w:b w:val="0"/>
          <w:bCs/>
          <w:color w:val="auto"/>
          <w:sz w:val="21"/>
          <w:szCs w:val="21"/>
          <w:lang w:val="en-US" w:eastAsia="zh-CN"/>
        </w:rPr>
        <w:t>项目的价格</w:t>
      </w:r>
      <w:r>
        <w:rPr>
          <w:rFonts w:hint="eastAsia" w:ascii="仿宋" w:hAnsi="仿宋" w:eastAsia="仿宋" w:cs="仿宋"/>
          <w:b w:val="0"/>
          <w:bCs/>
          <w:color w:val="auto"/>
          <w:sz w:val="21"/>
          <w:szCs w:val="21"/>
        </w:rPr>
        <w:t>分值</w:t>
      </w:r>
      <w:r>
        <w:rPr>
          <w:rFonts w:hint="eastAsia" w:ascii="仿宋" w:hAnsi="仿宋" w:eastAsia="仿宋" w:cs="仿宋"/>
          <w:b w:val="0"/>
          <w:bCs/>
          <w:color w:val="auto"/>
          <w:sz w:val="21"/>
          <w:szCs w:val="21"/>
          <w:lang w:val="en-US" w:eastAsia="zh-CN"/>
        </w:rPr>
        <w:t>占总分值的比重不得低于</w:t>
      </w:r>
      <w:r>
        <w:rPr>
          <w:rFonts w:hint="eastAsia" w:ascii="仿宋" w:hAnsi="仿宋" w:eastAsia="仿宋" w:cs="仿宋"/>
          <w:b w:val="0"/>
          <w:bCs/>
          <w:color w:val="auto"/>
          <w:sz w:val="21"/>
          <w:szCs w:val="21"/>
        </w:rPr>
        <w:t>30</w:t>
      </w:r>
      <w:r>
        <w:rPr>
          <w:rFonts w:hint="eastAsia" w:ascii="仿宋" w:hAnsi="仿宋" w:eastAsia="仿宋" w:cs="仿宋"/>
          <w:b w:val="0"/>
          <w:bCs/>
          <w:color w:val="auto"/>
          <w:sz w:val="21"/>
          <w:szCs w:val="21"/>
          <w:lang w:val="en-US" w:eastAsia="zh-CN"/>
        </w:rPr>
        <w:t>%；</w:t>
      </w:r>
      <w:r>
        <w:rPr>
          <w:rFonts w:hint="eastAsia" w:ascii="仿宋" w:hAnsi="仿宋" w:eastAsia="仿宋" w:cs="仿宋"/>
          <w:b w:val="0"/>
          <w:bCs/>
          <w:color w:val="auto"/>
          <w:sz w:val="21"/>
          <w:szCs w:val="21"/>
        </w:rPr>
        <w:t>服务</w:t>
      </w:r>
      <w:r>
        <w:rPr>
          <w:rFonts w:hint="eastAsia" w:ascii="仿宋" w:hAnsi="仿宋" w:eastAsia="仿宋" w:cs="仿宋"/>
          <w:b w:val="0"/>
          <w:bCs/>
          <w:color w:val="auto"/>
          <w:sz w:val="21"/>
          <w:szCs w:val="21"/>
          <w:lang w:val="en-US" w:eastAsia="zh-CN"/>
        </w:rPr>
        <w:t>项目的价格</w:t>
      </w:r>
      <w:r>
        <w:rPr>
          <w:rFonts w:hint="eastAsia" w:ascii="仿宋" w:hAnsi="仿宋" w:eastAsia="仿宋" w:cs="仿宋"/>
          <w:b w:val="0"/>
          <w:bCs/>
          <w:color w:val="auto"/>
          <w:sz w:val="21"/>
          <w:szCs w:val="21"/>
        </w:rPr>
        <w:t>分值</w:t>
      </w:r>
      <w:r>
        <w:rPr>
          <w:rFonts w:hint="eastAsia" w:ascii="仿宋" w:hAnsi="仿宋" w:eastAsia="仿宋" w:cs="仿宋"/>
          <w:b w:val="0"/>
          <w:bCs/>
          <w:color w:val="auto"/>
          <w:sz w:val="21"/>
          <w:szCs w:val="21"/>
          <w:lang w:val="en-US" w:eastAsia="zh-CN"/>
        </w:rPr>
        <w:t>占总分值的比重不得低于1</w:t>
      </w:r>
      <w:r>
        <w:rPr>
          <w:rFonts w:hint="eastAsia" w:ascii="仿宋" w:hAnsi="仿宋" w:eastAsia="仿宋" w:cs="仿宋"/>
          <w:b w:val="0"/>
          <w:bCs/>
          <w:color w:val="auto"/>
          <w:sz w:val="21"/>
          <w:szCs w:val="21"/>
        </w:rPr>
        <w:t>0</w:t>
      </w:r>
      <w:r>
        <w:rPr>
          <w:rFonts w:hint="eastAsia" w:ascii="仿宋" w:hAnsi="仿宋" w:eastAsia="仿宋" w:cs="仿宋"/>
          <w:b w:val="0"/>
          <w:bCs/>
          <w:color w:val="auto"/>
          <w:sz w:val="21"/>
          <w:szCs w:val="21"/>
          <w:lang w:val="en-US" w:eastAsia="zh-CN"/>
        </w:rPr>
        <w:t>%。</w:t>
      </w:r>
    </w:p>
    <w:p>
      <w:pPr>
        <w:numPr>
          <w:ilvl w:val="0"/>
          <w:numId w:val="0"/>
        </w:numPr>
        <w:rPr>
          <w:rFonts w:hint="default"/>
          <w:b/>
          <w:bCs/>
          <w:i w:val="0"/>
          <w:iCs w:val="0"/>
          <w:sz w:val="24"/>
          <w:szCs w:val="32"/>
          <w:u w:val="none"/>
          <w:lang w:val="en-US" w:eastAsia="zh-CN"/>
        </w:rPr>
      </w:pPr>
      <w:r>
        <w:rPr>
          <w:rFonts w:hint="eastAsia"/>
          <w:b/>
          <w:bCs/>
          <w:i w:val="0"/>
          <w:iCs w:val="0"/>
          <w:sz w:val="24"/>
          <w:szCs w:val="32"/>
          <w:u w:val="none"/>
          <w:lang w:val="en-US" w:eastAsia="zh-CN"/>
        </w:rPr>
        <w:t>1. 第1包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最低评标价法，选择该评审规则的理由：</w:t>
      </w:r>
      <w:r>
        <w:rPr>
          <w:rFonts w:hint="eastAsia"/>
          <w:i w:val="0"/>
          <w:iCs w:val="0"/>
          <w:sz w:val="24"/>
          <w:szCs w:val="32"/>
          <w:u w:val="single"/>
          <w:lang w:val="en-US" w:eastAsia="zh-CN"/>
        </w:rPr>
        <w:t xml:space="preserve">                               </w:t>
      </w:r>
    </w:p>
    <w:p>
      <w:pPr>
        <w:rPr>
          <w:rFonts w:hint="default" w:ascii="Times New Roman" w:hAnsi="Times New Roman" w:eastAsia="宋体" w:cs="Times New Roman"/>
          <w:b w:val="0"/>
          <w:bCs w:val="0"/>
          <w:sz w:val="24"/>
          <w:szCs w:val="24"/>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综合评分法，</w:t>
      </w:r>
      <w:r>
        <w:rPr>
          <w:rFonts w:hint="eastAsia" w:ascii="Times New Roman" w:hAnsi="Times New Roman" w:eastAsia="宋体" w:cs="Times New Roman"/>
          <w:b w:val="0"/>
          <w:bCs w:val="0"/>
          <w:i/>
          <w:iCs/>
          <w:sz w:val="24"/>
          <w:szCs w:val="24"/>
          <w:lang w:eastAsia="zh-CN"/>
        </w:rPr>
        <w:t>（</w:t>
      </w:r>
      <w:r>
        <w:rPr>
          <w:rFonts w:hint="eastAsia" w:ascii="Times New Roman" w:hAnsi="Times New Roman" w:eastAsia="宋体" w:cs="Times New Roman"/>
          <w:b w:val="0"/>
          <w:bCs w:val="0"/>
          <w:i/>
          <w:iCs/>
          <w:color w:val="FF0000"/>
          <w:sz w:val="24"/>
          <w:szCs w:val="24"/>
          <w:lang w:val="en-US" w:eastAsia="zh-CN"/>
        </w:rPr>
        <w:t>以下评分标准供参考，如与本项目不适用，请按照相关规定在排除隐性门槛的前提下合理制定评分标准</w:t>
      </w:r>
      <w:r>
        <w:rPr>
          <w:rFonts w:hint="eastAsia" w:ascii="Times New Roman" w:hAnsi="Times New Roman" w:eastAsia="宋体" w:cs="Times New Roman"/>
          <w:b w:val="0"/>
          <w:bCs w:val="0"/>
          <w:i/>
          <w:iCs/>
          <w:sz w:val="24"/>
          <w:szCs w:val="24"/>
          <w:lang w:eastAsia="zh-CN"/>
        </w:rPr>
        <w:t>）</w:t>
      </w:r>
      <w:r>
        <w:rPr>
          <w:rFonts w:hint="eastAsia" w:ascii="Times New Roman" w:hAnsi="Times New Roman" w:eastAsia="宋体" w:cs="Times New Roman"/>
          <w:b w:val="0"/>
          <w:bCs w:val="0"/>
          <w:i/>
          <w:iCs/>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t>选择该评审规则的理由：</w:t>
      </w:r>
      <w:r>
        <w:rPr>
          <w:rFonts w:hint="eastAsia"/>
          <w:i w:val="0"/>
          <w:iCs w:val="0"/>
          <w:sz w:val="24"/>
          <w:szCs w:val="32"/>
          <w:u w:val="single"/>
          <w:lang w:val="en-US" w:eastAsia="zh-CN"/>
        </w:rPr>
        <w:t xml:space="preserve">                                 </w:t>
      </w:r>
    </w:p>
    <w:p>
      <w:pPr>
        <w:pStyle w:val="2"/>
        <w:keepNext w:val="0"/>
        <w:keepLines w:val="0"/>
        <w:widowControl/>
        <w:suppressLineNumbers w:val="0"/>
        <w:spacing w:before="100" w:beforeAutospacing="1" w:after="100" w:afterAutospacing="1" w:line="360" w:lineRule="atLeast"/>
        <w:ind w:left="0" w:right="0" w:firstLine="0"/>
        <w:jc w:val="center"/>
        <w:rPr>
          <w:rFonts w:ascii="微软雅黑" w:hAnsi="微软雅黑" w:eastAsia="微软雅黑" w:cs="微软雅黑"/>
          <w:i w:val="0"/>
          <w:iCs w:val="0"/>
          <w:caps w:val="0"/>
          <w:color w:val="000000"/>
          <w:spacing w:val="0"/>
          <w:sz w:val="27"/>
          <w:szCs w:val="27"/>
        </w:rPr>
      </w:pPr>
      <w:r>
        <w:rPr>
          <w:rFonts w:hint="eastAsia" w:eastAsia="宋体" w:cs="宋体"/>
          <w:i w:val="0"/>
          <w:iCs w:val="0"/>
          <w:caps w:val="0"/>
          <w:color w:val="000000"/>
          <w:spacing w:val="0"/>
          <w:sz w:val="24"/>
          <w:szCs w:val="24"/>
          <w:lang w:val="en-US" w:eastAsia="zh-CN"/>
        </w:rPr>
        <w:t>（1）</w:t>
      </w:r>
      <w:r>
        <w:rPr>
          <w:rFonts w:hint="eastAsia" w:ascii="宋体" w:hAnsi="宋体" w:eastAsia="宋体" w:cs="宋体"/>
          <w:i w:val="0"/>
          <w:iCs w:val="0"/>
          <w:caps w:val="0"/>
          <w:color w:val="000000"/>
          <w:spacing w:val="0"/>
          <w:sz w:val="24"/>
          <w:szCs w:val="24"/>
        </w:rPr>
        <w:t>货物类</w:t>
      </w:r>
    </w:p>
    <w:p>
      <w:pPr>
        <w:pStyle w:val="2"/>
        <w:keepNext w:val="0"/>
        <w:keepLines w:val="0"/>
        <w:widowControl/>
        <w:suppressLineNumbers w:val="0"/>
        <w:spacing w:before="100" w:beforeAutospacing="1" w:after="100" w:afterAutospacing="1" w:line="360" w:lineRule="atLeast"/>
        <w:ind w:left="0" w:right="0" w:firstLine="480"/>
        <w:rPr>
          <w:rFonts w:hint="eastAsia" w:ascii="微软雅黑" w:hAnsi="微软雅黑" w:eastAsia="微软雅黑" w:cs="微软雅黑"/>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本项目综合评分满分为100分，其中：技术资信分值占总分值的权重为</w:t>
      </w:r>
      <w:r>
        <w:rPr>
          <w:rFonts w:hint="eastAsia" w:ascii="宋体" w:hAnsi="宋体" w:eastAsia="宋体" w:cs="宋体"/>
          <w:i w:val="0"/>
          <w:iCs w:val="0"/>
          <w:caps w:val="0"/>
          <w:color w:val="000000"/>
          <w:spacing w:val="0"/>
          <w:sz w:val="24"/>
          <w:szCs w:val="24"/>
          <w:u w:val="single"/>
        </w:rPr>
        <w:t>70</w:t>
      </w:r>
      <w:r>
        <w:rPr>
          <w:rFonts w:hint="eastAsia" w:ascii="宋体" w:hAnsi="宋体" w:eastAsia="宋体" w:cs="宋体"/>
          <w:i w:val="0"/>
          <w:iCs w:val="0"/>
          <w:caps w:val="0"/>
          <w:color w:val="000000"/>
          <w:spacing w:val="0"/>
          <w:sz w:val="24"/>
          <w:szCs w:val="24"/>
        </w:rPr>
        <w:t>%，价格分值占总分值的权重为</w:t>
      </w:r>
      <w:r>
        <w:rPr>
          <w:rFonts w:hint="eastAsia" w:ascii="宋体" w:hAnsi="宋体" w:eastAsia="宋体" w:cs="宋体"/>
          <w:i w:val="0"/>
          <w:iCs w:val="0"/>
          <w:caps w:val="0"/>
          <w:color w:val="000000"/>
          <w:spacing w:val="0"/>
          <w:sz w:val="24"/>
          <w:szCs w:val="24"/>
          <w:u w:val="single"/>
        </w:rPr>
        <w:t>30</w:t>
      </w:r>
      <w:r>
        <w:rPr>
          <w:rFonts w:hint="eastAsia" w:ascii="宋体" w:hAnsi="宋体" w:eastAsia="宋体" w:cs="宋体"/>
          <w:i w:val="0"/>
          <w:iCs w:val="0"/>
          <w:caps w:val="0"/>
          <w:color w:val="000000"/>
          <w:spacing w:val="0"/>
          <w:sz w:val="24"/>
          <w:szCs w:val="24"/>
        </w:rPr>
        <w:t>%。具体评分细则如下：</w:t>
      </w:r>
    </w:p>
    <w:tbl>
      <w:tblPr>
        <w:tblStyle w:val="3"/>
        <w:tblW w:w="9013"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autofit"/>
        <w:tblCellMar>
          <w:top w:w="0" w:type="dxa"/>
          <w:left w:w="0" w:type="dxa"/>
          <w:bottom w:w="0" w:type="dxa"/>
          <w:right w:w="0" w:type="dxa"/>
        </w:tblCellMar>
      </w:tblPr>
      <w:tblGrid>
        <w:gridCol w:w="1271"/>
        <w:gridCol w:w="1565"/>
        <w:gridCol w:w="4961"/>
        <w:gridCol w:w="1216"/>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blHeader/>
          <w:jc w:val="center"/>
        </w:trPr>
        <w:tc>
          <w:tcPr>
            <w:tcW w:w="1271" w:type="dxa"/>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b/>
                <w:bCs/>
                <w:sz w:val="21"/>
                <w:szCs w:val="21"/>
              </w:rPr>
              <w:t>类别</w:t>
            </w:r>
          </w:p>
        </w:tc>
        <w:tc>
          <w:tcPr>
            <w:tcW w:w="1565" w:type="dxa"/>
            <w:tcBorders>
              <w:top w:val="single" w:color="auto" w:sz="8" w:space="0"/>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b/>
                <w:bCs/>
                <w:sz w:val="21"/>
                <w:szCs w:val="21"/>
              </w:rPr>
              <w:t>评分内容</w:t>
            </w:r>
          </w:p>
        </w:tc>
        <w:tc>
          <w:tcPr>
            <w:tcW w:w="4961" w:type="dxa"/>
            <w:tcBorders>
              <w:top w:val="single" w:color="auto" w:sz="8" w:space="0"/>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b/>
                <w:bCs/>
                <w:sz w:val="21"/>
                <w:szCs w:val="21"/>
              </w:rPr>
              <w:t>评分标准</w:t>
            </w:r>
          </w:p>
        </w:tc>
        <w:tc>
          <w:tcPr>
            <w:tcW w:w="1216" w:type="dxa"/>
            <w:tcBorders>
              <w:top w:val="single" w:color="auto" w:sz="8" w:space="0"/>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b/>
                <w:bCs/>
                <w:sz w:val="21"/>
                <w:szCs w:val="21"/>
              </w:rPr>
              <w:t>分值范围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71" w:type="dxa"/>
            <w:vMerge w:val="restart"/>
            <w:tcBorders>
              <w:top w:val="nil"/>
              <w:left w:val="single" w:color="auto" w:sz="8" w:space="0"/>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hint="default" w:eastAsia="宋体"/>
                <w:sz w:val="21"/>
                <w:szCs w:val="21"/>
                <w:lang w:val="en-US" w:eastAsia="zh-CN"/>
              </w:rPr>
            </w:pPr>
            <w:r>
              <w:rPr>
                <w:rFonts w:hint="eastAsia" w:eastAsia="宋体" w:cs="宋体"/>
                <w:sz w:val="21"/>
                <w:szCs w:val="21"/>
                <w:lang w:val="en-US" w:eastAsia="zh-CN"/>
              </w:rPr>
              <w:t>技术资信分（70分）</w:t>
            </w:r>
          </w:p>
        </w:tc>
        <w:tc>
          <w:tcPr>
            <w:tcW w:w="1565"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产品选型合理性</w:t>
            </w:r>
          </w:p>
        </w:tc>
        <w:tc>
          <w:tcPr>
            <w:tcW w:w="4961"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根据所投产品选型、配置等，由评标委员会进行综合评分：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1.产品选型先进，配置与项目匹配度高的，得5分；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2.产品选型合理，配置与项目匹配度较高的，得3分；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3.产品选型有待提升，配置与项目匹配度存在不足的，得1分。</w:t>
            </w:r>
          </w:p>
        </w:tc>
        <w:tc>
          <w:tcPr>
            <w:tcW w:w="1216"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1-5分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71"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textAlignment w:val="auto"/>
              <w:rPr>
                <w:rFonts w:hint="eastAsia" w:ascii="宋体" w:hAnsi="Times New Roman" w:eastAsia="宋体" w:cs="Times New Roman"/>
                <w:sz w:val="21"/>
                <w:szCs w:val="21"/>
              </w:rPr>
            </w:pPr>
          </w:p>
        </w:tc>
        <w:tc>
          <w:tcPr>
            <w:tcW w:w="1565"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投标人信誉资信情况</w:t>
            </w:r>
          </w:p>
        </w:tc>
        <w:tc>
          <w:tcPr>
            <w:tcW w:w="4961"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根据投标人具有的信誉、资信等情况，由评标委员会综合评审：</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1.投标人信誉资信情况有利于项目实施，提供的证明材料齐全且具有权威性的，得3分。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2.投标人信誉资信情况与项目实施基本匹配，提供的证明材料比较齐全且比较具有权威性的，得2分。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3.投标人信誉资信情况存在不足有待提升的，得1分。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4.差或未提供的，不得分。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注：投标文件中提供相关证明资料，证明材料具体形式不限，可结合项目自行提供相关荣誉、资信证书等。</w:t>
            </w:r>
          </w:p>
        </w:tc>
        <w:tc>
          <w:tcPr>
            <w:tcW w:w="1216"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0-3分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71"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textAlignment w:val="auto"/>
              <w:rPr>
                <w:rFonts w:hint="eastAsia" w:ascii="宋体" w:hAnsi="Times New Roman" w:eastAsia="宋体" w:cs="Times New Roman"/>
                <w:sz w:val="21"/>
                <w:szCs w:val="21"/>
              </w:rPr>
            </w:pPr>
          </w:p>
        </w:tc>
        <w:tc>
          <w:tcPr>
            <w:tcW w:w="1565"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供货安装调试及技术培训方案</w:t>
            </w:r>
          </w:p>
        </w:tc>
        <w:tc>
          <w:tcPr>
            <w:tcW w:w="4961"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根据投标人所提供的供货安装调试及技术培训方案，由评标委员会酌情评分：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1.方案内容完整详细，</w:t>
            </w:r>
            <w:r>
              <w:rPr>
                <w:rFonts w:hint="eastAsia" w:ascii="宋体" w:hAnsi="宋体" w:cs="宋体"/>
                <w:sz w:val="21"/>
                <w:szCs w:val="21"/>
                <w:lang w:val="en-US" w:eastAsia="zh-CN"/>
              </w:rPr>
              <w:t>符合项目要求，</w:t>
            </w:r>
            <w:r>
              <w:rPr>
                <w:rFonts w:hint="eastAsia" w:ascii="宋体" w:hAnsi="宋体" w:eastAsia="宋体" w:cs="宋体"/>
                <w:sz w:val="21"/>
                <w:szCs w:val="21"/>
              </w:rPr>
              <w:t>利于项目实施的，得3分；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2.方案内容较完整，</w:t>
            </w:r>
            <w:r>
              <w:rPr>
                <w:rFonts w:hint="eastAsia" w:ascii="宋体" w:hAnsi="宋体" w:cs="宋体"/>
                <w:sz w:val="21"/>
                <w:szCs w:val="21"/>
                <w:lang w:val="en-US" w:eastAsia="zh-CN"/>
              </w:rPr>
              <w:t>基本符合项目要求，</w:t>
            </w:r>
            <w:r>
              <w:rPr>
                <w:rFonts w:hint="eastAsia" w:ascii="宋体" w:hAnsi="宋体" w:eastAsia="宋体" w:cs="宋体"/>
                <w:sz w:val="21"/>
                <w:szCs w:val="21"/>
              </w:rPr>
              <w:t>满足项目所需的，得2分；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3.方案内容较简单，</w:t>
            </w:r>
            <w:r>
              <w:rPr>
                <w:rFonts w:hint="eastAsia" w:ascii="宋体" w:hAnsi="宋体" w:cs="宋体"/>
                <w:sz w:val="21"/>
                <w:szCs w:val="21"/>
                <w:lang w:val="en-US" w:eastAsia="zh-CN"/>
              </w:rPr>
              <w:t>基本能够</w:t>
            </w:r>
            <w:r>
              <w:rPr>
                <w:rFonts w:hint="eastAsia" w:ascii="宋体" w:hAnsi="宋体" w:eastAsia="宋体" w:cs="宋体"/>
                <w:sz w:val="21"/>
                <w:szCs w:val="21"/>
              </w:rPr>
              <w:t>满足项目所需的，得1分；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4.差或未提供方案内容的不得分。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方案内容包括但不限于：</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①设备的安装、调试和试运行等设计、安装、系统集成、人员培训、维保方案合理性；</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②供货安装调试及技术培训方案设计的科学性；</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③安装施工质量保证及质量控制方案的科学性；</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④运行调试、验收方案的科学性；</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⑤技术资料交付承诺的完整性。</w:t>
            </w:r>
          </w:p>
        </w:tc>
        <w:tc>
          <w:tcPr>
            <w:tcW w:w="1216"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0-3分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71"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textAlignment w:val="auto"/>
              <w:rPr>
                <w:rFonts w:hint="eastAsia" w:ascii="宋体" w:hAnsi="Times New Roman" w:eastAsia="宋体" w:cs="Times New Roman"/>
                <w:sz w:val="21"/>
                <w:szCs w:val="21"/>
              </w:rPr>
            </w:pPr>
          </w:p>
        </w:tc>
        <w:tc>
          <w:tcPr>
            <w:tcW w:w="1565"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售后服务和维保体系</w:t>
            </w:r>
          </w:p>
        </w:tc>
        <w:tc>
          <w:tcPr>
            <w:tcW w:w="4961"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根据投标人售后服务及维保体系（体系完备、制度健全、合同甲方反映较好，有持续的备品备件供应）、售后服务承诺、售后响应时间、保修期、保修内容及优惠条件等情况，由评标委员会酌情评分：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1.体系完整，内容全面的，得4分；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2.体系较完整，方案较全面的，得2分；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3.体系简单有待完善的，得1分；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4.差或未提供的不得分。</w:t>
            </w:r>
          </w:p>
        </w:tc>
        <w:tc>
          <w:tcPr>
            <w:tcW w:w="1216"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0-4分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71"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textAlignment w:val="auto"/>
              <w:rPr>
                <w:rFonts w:hint="eastAsia" w:ascii="宋体" w:hAnsi="Times New Roman" w:eastAsia="宋体" w:cs="Times New Roman"/>
                <w:sz w:val="21"/>
                <w:szCs w:val="21"/>
              </w:rPr>
            </w:pPr>
          </w:p>
        </w:tc>
        <w:tc>
          <w:tcPr>
            <w:tcW w:w="1565"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技术参数及要求</w:t>
            </w:r>
          </w:p>
        </w:tc>
        <w:tc>
          <w:tcPr>
            <w:tcW w:w="4961"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招标文件采购需求中★技术指标每满足一项，得X分，共XX项，共计45分；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注：以投标响应表和货物指标要求中证明材料要求（如有要求）作为评审依据。</w:t>
            </w:r>
          </w:p>
        </w:tc>
        <w:tc>
          <w:tcPr>
            <w:tcW w:w="1216"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0-45分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71"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textAlignment w:val="auto"/>
              <w:rPr>
                <w:rFonts w:hint="eastAsia" w:ascii="宋体" w:hAnsi="Times New Roman" w:eastAsia="宋体" w:cs="Times New Roman"/>
                <w:sz w:val="21"/>
                <w:szCs w:val="21"/>
              </w:rPr>
            </w:pPr>
          </w:p>
        </w:tc>
        <w:tc>
          <w:tcPr>
            <w:tcW w:w="1565"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免费质保期</w:t>
            </w:r>
          </w:p>
        </w:tc>
        <w:tc>
          <w:tcPr>
            <w:tcW w:w="4961"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投标人承诺在采购需求中要求的免费质保期的基础上，全部产品每增加一年免费质保期的得1分，满分2分，增加不足1年的部分或仅对部分产品增加的不得分。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注：以投标响应表中投标人承诺的免费质保期作为评审依据。</w:t>
            </w:r>
          </w:p>
        </w:tc>
        <w:tc>
          <w:tcPr>
            <w:tcW w:w="1216"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0-2分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71"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textAlignment w:val="auto"/>
              <w:rPr>
                <w:rFonts w:hint="eastAsia" w:ascii="宋体" w:hAnsi="Times New Roman" w:eastAsia="宋体" w:cs="Times New Roman"/>
                <w:sz w:val="21"/>
                <w:szCs w:val="21"/>
              </w:rPr>
            </w:pPr>
          </w:p>
        </w:tc>
        <w:tc>
          <w:tcPr>
            <w:tcW w:w="1565"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投标人业绩</w:t>
            </w:r>
          </w:p>
        </w:tc>
        <w:tc>
          <w:tcPr>
            <w:tcW w:w="4961"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lang w:val="en-US" w:eastAsia="zh-CN"/>
              </w:rPr>
              <w:t>近三年</w:t>
            </w:r>
            <w:r>
              <w:rPr>
                <w:rFonts w:hint="eastAsia" w:ascii="宋体" w:hAnsi="宋体" w:eastAsia="宋体" w:cs="宋体"/>
                <w:sz w:val="21"/>
                <w:szCs w:val="21"/>
              </w:rPr>
              <w:t>以来（以合同签订时间为准），投标人具有采购需求中标注▲产品（须与本次所投▲产品同品牌同型号）【如涉及软件、家具以及定制类产品不宜明确具体型号的，设置与采购项目类型相关的业绩】的供货项目业绩， 每提供1个业绩得2分，满分8分。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注：投标文件中提供业绩合同及验收合格证明材料扫描件，如合同或验收合格证明材料中无法体现产品品牌型号、合同签订时间等评审因素，须另附业主单位盖章的证明文件扫描件。</w:t>
            </w:r>
          </w:p>
        </w:tc>
        <w:tc>
          <w:tcPr>
            <w:tcW w:w="1216"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0-8分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71" w:type="dxa"/>
            <w:tcBorders>
              <w:top w:val="nil"/>
              <w:left w:val="single" w:color="auto" w:sz="8" w:space="0"/>
              <w:bottom w:val="single" w:color="auto" w:sz="8" w:space="0"/>
              <w:right w:val="single" w:color="auto" w:sz="8" w:space="0"/>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80" w:lineRule="exact"/>
              <w:ind w:left="0" w:right="0"/>
              <w:jc w:val="center"/>
              <w:textAlignment w:val="auto"/>
              <w:rPr>
                <w:rFonts w:ascii="Times New Roman" w:hAnsi="Times New Roman" w:eastAsia="宋体" w:cs="Times New Roman"/>
                <w:sz w:val="21"/>
                <w:szCs w:val="21"/>
              </w:rPr>
            </w:pPr>
            <w:r>
              <w:rPr>
                <w:rFonts w:hint="eastAsia" w:ascii="宋体" w:hAnsi="宋体" w:eastAsia="宋体" w:cs="宋体"/>
                <w:kern w:val="0"/>
                <w:sz w:val="21"/>
                <w:szCs w:val="21"/>
                <w:lang w:val="en-US" w:eastAsia="zh-CN" w:bidi="ar"/>
              </w:rPr>
              <w:t>价格分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80" w:lineRule="exact"/>
              <w:ind w:left="0" w:right="0"/>
              <w:jc w:val="center"/>
              <w:textAlignment w:val="auto"/>
              <w:rPr>
                <w:rFonts w:ascii="Times New Roman" w:hAnsi="Times New Roman" w:eastAsia="宋体" w:cs="Times New Roman"/>
                <w:sz w:val="21"/>
                <w:szCs w:val="21"/>
              </w:rPr>
            </w:pPr>
            <w:r>
              <w:rPr>
                <w:rFonts w:hint="eastAsia" w:ascii="宋体" w:hAnsi="宋体" w:eastAsia="宋体" w:cs="宋体"/>
                <w:kern w:val="0"/>
                <w:sz w:val="21"/>
                <w:szCs w:val="21"/>
                <w:lang w:val="en-US" w:eastAsia="zh-CN" w:bidi="ar"/>
              </w:rPr>
              <w:t>（</w:t>
            </w:r>
            <w:r>
              <w:rPr>
                <w:rFonts w:hint="eastAsia" w:ascii="宋体" w:hAnsi="宋体" w:eastAsia="宋体" w:cs="宋体"/>
                <w:kern w:val="0"/>
                <w:sz w:val="21"/>
                <w:szCs w:val="21"/>
                <w:u w:val="single"/>
                <w:lang w:val="en-US" w:eastAsia="zh-CN" w:bidi="ar"/>
              </w:rPr>
              <w:t>30</w:t>
            </w:r>
            <w:r>
              <w:rPr>
                <w:rFonts w:hint="eastAsia" w:ascii="宋体" w:hAnsi="宋体" w:eastAsia="宋体" w:cs="宋体"/>
                <w:kern w:val="0"/>
                <w:sz w:val="21"/>
                <w:szCs w:val="21"/>
                <w:lang w:val="en-US" w:eastAsia="zh-CN" w:bidi="ar"/>
              </w:rPr>
              <w:t>分）</w:t>
            </w:r>
          </w:p>
        </w:tc>
        <w:tc>
          <w:tcPr>
            <w:tcW w:w="7742" w:type="dxa"/>
            <w:gridSpan w:val="3"/>
            <w:tcBorders>
              <w:top w:val="nil"/>
              <w:left w:val="nil"/>
              <w:bottom w:val="single" w:color="auto" w:sz="8" w:space="0"/>
              <w:right w:val="single" w:color="auto" w:sz="8" w:space="0"/>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80" w:lineRule="exact"/>
              <w:ind w:left="0" w:right="0"/>
              <w:jc w:val="left"/>
              <w:textAlignment w:val="auto"/>
              <w:rPr>
                <w:rFonts w:ascii="Times New Roman" w:hAnsi="Times New Roman" w:eastAsia="宋体" w:cs="Times New Roman"/>
                <w:sz w:val="21"/>
                <w:szCs w:val="21"/>
              </w:rPr>
            </w:pPr>
            <w:r>
              <w:rPr>
                <w:rFonts w:hint="eastAsia" w:ascii="宋体" w:hAnsi="宋体" w:eastAsia="宋体" w:cs="宋体"/>
                <w:kern w:val="0"/>
                <w:sz w:val="21"/>
                <w:szCs w:val="21"/>
                <w:lang w:val="en-US" w:eastAsia="zh-CN" w:bidi="ar"/>
              </w:rPr>
              <w:t>价格分统一采用低价优先法，即满足招标文件要求且投标价格最低的投标报价为评标基准价，其价格分为满分</w:t>
            </w:r>
            <w:r>
              <w:rPr>
                <w:rFonts w:hint="eastAsia" w:ascii="宋体" w:hAnsi="宋体" w:eastAsia="宋体" w:cs="宋体"/>
                <w:kern w:val="0"/>
                <w:sz w:val="21"/>
                <w:szCs w:val="21"/>
                <w:u w:val="single"/>
                <w:lang w:val="en-US" w:eastAsia="zh-CN" w:bidi="ar"/>
              </w:rPr>
              <w:t>30</w:t>
            </w:r>
            <w:r>
              <w:rPr>
                <w:rFonts w:hint="eastAsia" w:ascii="宋体" w:hAnsi="宋体" w:eastAsia="宋体" w:cs="宋体"/>
                <w:kern w:val="0"/>
                <w:sz w:val="21"/>
                <w:szCs w:val="21"/>
                <w:lang w:val="en-US" w:eastAsia="zh-CN" w:bidi="ar"/>
              </w:rPr>
              <w:t>分。其他投标人的价格分统一按照下列公式计算：投标报价得分＝（评标基准价/投标报价）×</w:t>
            </w:r>
            <w:r>
              <w:rPr>
                <w:rFonts w:hint="eastAsia" w:ascii="宋体" w:hAnsi="宋体" w:eastAsia="宋体" w:cs="宋体"/>
                <w:kern w:val="0"/>
                <w:sz w:val="21"/>
                <w:szCs w:val="21"/>
                <w:u w:val="single"/>
                <w:lang w:val="en-US" w:eastAsia="zh-CN" w:bidi="ar"/>
              </w:rPr>
              <w:t>30</w:t>
            </w:r>
            <w:r>
              <w:rPr>
                <w:rFonts w:hint="eastAsia" w:ascii="宋体" w:hAnsi="宋体" w:eastAsia="宋体" w:cs="宋体"/>
                <w:kern w:val="0"/>
                <w:sz w:val="21"/>
                <w:szCs w:val="21"/>
                <w:lang w:val="en-US" w:eastAsia="zh-CN" w:bidi="ar"/>
              </w:rPr>
              <w:t>％×100</w:t>
            </w:r>
          </w:p>
        </w:tc>
      </w:tr>
    </w:tbl>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440" w:lineRule="exact"/>
        <w:ind w:left="0" w:right="0" w:firstLine="0"/>
        <w:jc w:val="center"/>
        <w:textAlignment w:val="auto"/>
        <w:rPr>
          <w:rFonts w:hint="eastAsia" w:ascii="微软雅黑" w:hAnsi="微软雅黑" w:eastAsia="微软雅黑" w:cs="微软雅黑"/>
          <w:i w:val="0"/>
          <w:iCs w:val="0"/>
          <w:caps w:val="0"/>
          <w:color w:val="000000"/>
          <w:spacing w:val="0"/>
          <w:sz w:val="27"/>
          <w:szCs w:val="27"/>
        </w:rPr>
      </w:pPr>
      <w:r>
        <w:rPr>
          <w:rFonts w:hint="eastAsia" w:eastAsia="宋体" w:cs="宋体"/>
          <w:i w:val="0"/>
          <w:iCs w:val="0"/>
          <w:caps w:val="0"/>
          <w:color w:val="000000"/>
          <w:spacing w:val="0"/>
          <w:sz w:val="24"/>
          <w:szCs w:val="24"/>
          <w:lang w:val="en-US" w:eastAsia="zh-CN"/>
        </w:rPr>
        <w:t>（2）</w:t>
      </w:r>
      <w:r>
        <w:rPr>
          <w:rFonts w:hint="eastAsia" w:ascii="宋体" w:hAnsi="宋体" w:eastAsia="宋体" w:cs="宋体"/>
          <w:i w:val="0"/>
          <w:iCs w:val="0"/>
          <w:caps w:val="0"/>
          <w:color w:val="000000"/>
          <w:spacing w:val="0"/>
          <w:sz w:val="24"/>
          <w:szCs w:val="24"/>
        </w:rPr>
        <w:t>服务类</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440" w:lineRule="exact"/>
        <w:ind w:left="0" w:right="0" w:firstLine="480"/>
        <w:textAlignment w:val="auto"/>
        <w:rPr>
          <w:rFonts w:hint="eastAsia" w:ascii="微软雅黑" w:hAnsi="微软雅黑" w:eastAsia="微软雅黑" w:cs="微软雅黑"/>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本项目综合评分满分为100分，其中：技术资信分值占总分值的权重为</w:t>
      </w:r>
      <w:r>
        <w:rPr>
          <w:rFonts w:hint="eastAsia" w:ascii="宋体" w:hAnsi="宋体" w:eastAsia="宋体" w:cs="宋体"/>
          <w:i w:val="0"/>
          <w:iCs w:val="0"/>
          <w:caps w:val="0"/>
          <w:color w:val="000000"/>
          <w:spacing w:val="0"/>
          <w:sz w:val="24"/>
          <w:szCs w:val="24"/>
          <w:u w:val="single"/>
        </w:rPr>
        <w:t> 70 </w:t>
      </w:r>
      <w:r>
        <w:rPr>
          <w:rFonts w:hint="eastAsia" w:ascii="宋体" w:hAnsi="宋体" w:eastAsia="宋体" w:cs="宋体"/>
          <w:i w:val="0"/>
          <w:iCs w:val="0"/>
          <w:caps w:val="0"/>
          <w:color w:val="000000"/>
          <w:spacing w:val="0"/>
          <w:sz w:val="24"/>
          <w:szCs w:val="24"/>
        </w:rPr>
        <w:t>%，价格分值占总分值的权重为</w:t>
      </w:r>
      <w:r>
        <w:rPr>
          <w:rFonts w:hint="eastAsia" w:ascii="宋体" w:hAnsi="宋体" w:eastAsia="宋体" w:cs="宋体"/>
          <w:i w:val="0"/>
          <w:iCs w:val="0"/>
          <w:caps w:val="0"/>
          <w:color w:val="000000"/>
          <w:spacing w:val="0"/>
          <w:sz w:val="24"/>
          <w:szCs w:val="24"/>
          <w:u w:val="single"/>
        </w:rPr>
        <w:t> 30 </w:t>
      </w:r>
      <w:r>
        <w:rPr>
          <w:rFonts w:hint="eastAsia" w:ascii="宋体" w:hAnsi="宋体" w:eastAsia="宋体" w:cs="宋体"/>
          <w:i w:val="0"/>
          <w:iCs w:val="0"/>
          <w:caps w:val="0"/>
          <w:color w:val="000000"/>
          <w:spacing w:val="0"/>
          <w:sz w:val="24"/>
          <w:szCs w:val="24"/>
        </w:rPr>
        <w:t>%。具体评分细则如下</w:t>
      </w:r>
    </w:p>
    <w:tbl>
      <w:tblPr>
        <w:tblStyle w:val="3"/>
        <w:tblW w:w="8802"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autofit"/>
        <w:tblCellMar>
          <w:top w:w="0" w:type="dxa"/>
          <w:left w:w="0" w:type="dxa"/>
          <w:bottom w:w="0" w:type="dxa"/>
          <w:right w:w="0" w:type="dxa"/>
        </w:tblCellMar>
      </w:tblPr>
      <w:tblGrid>
        <w:gridCol w:w="1255"/>
        <w:gridCol w:w="1527"/>
        <w:gridCol w:w="4827"/>
        <w:gridCol w:w="1193"/>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blHeader/>
          <w:jc w:val="center"/>
        </w:trPr>
        <w:tc>
          <w:tcPr>
            <w:tcW w:w="1255" w:type="dxa"/>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b/>
                <w:bCs/>
                <w:sz w:val="21"/>
                <w:szCs w:val="21"/>
              </w:rPr>
              <w:t>类别</w:t>
            </w:r>
          </w:p>
        </w:tc>
        <w:tc>
          <w:tcPr>
            <w:tcW w:w="1527" w:type="dxa"/>
            <w:tcBorders>
              <w:top w:val="single" w:color="auto" w:sz="8" w:space="0"/>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b/>
                <w:bCs/>
                <w:sz w:val="21"/>
                <w:szCs w:val="21"/>
              </w:rPr>
              <w:t>评分内容</w:t>
            </w:r>
          </w:p>
        </w:tc>
        <w:tc>
          <w:tcPr>
            <w:tcW w:w="4827" w:type="dxa"/>
            <w:tcBorders>
              <w:top w:val="single" w:color="auto" w:sz="8" w:space="0"/>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b/>
                <w:bCs/>
                <w:sz w:val="21"/>
                <w:szCs w:val="21"/>
              </w:rPr>
              <w:t>评分标准</w:t>
            </w:r>
          </w:p>
        </w:tc>
        <w:tc>
          <w:tcPr>
            <w:tcW w:w="1193" w:type="dxa"/>
            <w:tcBorders>
              <w:top w:val="single" w:color="auto" w:sz="8" w:space="0"/>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b/>
                <w:bCs/>
                <w:sz w:val="21"/>
                <w:szCs w:val="21"/>
              </w:rPr>
              <w:t>分值范围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55" w:type="dxa"/>
            <w:vMerge w:val="restart"/>
            <w:tcBorders>
              <w:top w:val="nil"/>
              <w:left w:val="single" w:color="auto" w:sz="8" w:space="0"/>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技术资信分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（70分）</w:t>
            </w:r>
          </w:p>
        </w:tc>
        <w:tc>
          <w:tcPr>
            <w:tcW w:w="1527"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服务方案</w:t>
            </w:r>
          </w:p>
        </w:tc>
        <w:tc>
          <w:tcPr>
            <w:tcW w:w="4827"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根据投标人针对本项目实际需要制订的服务方案，由评标委员会综合评分。要求具有明确的服务目标、流程，完善的服务思路和策略，工作思路切实可行，制定有针对本项目特点、重点、难点的方案，措施针对性强，具有可</w:t>
            </w:r>
            <w:r>
              <w:rPr>
                <w:rFonts w:hint="eastAsia" w:ascii="宋体" w:hAnsi="宋体" w:cs="宋体"/>
                <w:sz w:val="21"/>
                <w:szCs w:val="21"/>
                <w:lang w:val="en-US" w:eastAsia="zh-CN"/>
              </w:rPr>
              <w:t>行</w:t>
            </w:r>
            <w:r>
              <w:rPr>
                <w:rFonts w:hint="eastAsia" w:ascii="宋体" w:hAnsi="宋体" w:eastAsia="宋体" w:cs="宋体"/>
                <w:sz w:val="21"/>
                <w:szCs w:val="21"/>
              </w:rPr>
              <w:t>性等。</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1.服务方案全面深入，详尽准确，科学合理的，得5分；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2.服务方案较为贴切，符合实际，具有可</w:t>
            </w:r>
            <w:r>
              <w:rPr>
                <w:rFonts w:hint="eastAsia" w:ascii="宋体" w:hAnsi="宋体" w:cs="宋体"/>
                <w:sz w:val="21"/>
                <w:szCs w:val="21"/>
                <w:lang w:val="en-US" w:eastAsia="zh-CN"/>
              </w:rPr>
              <w:t>行</w:t>
            </w:r>
            <w:r>
              <w:rPr>
                <w:rFonts w:hint="eastAsia" w:ascii="宋体" w:hAnsi="宋体" w:eastAsia="宋体" w:cs="宋体"/>
                <w:sz w:val="21"/>
                <w:szCs w:val="21"/>
              </w:rPr>
              <w:t>性的，得3分；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3.服务方案存在不足需进一步完善的，得1分；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4.差或未提供方案的不得分。</w:t>
            </w:r>
          </w:p>
        </w:tc>
        <w:tc>
          <w:tcPr>
            <w:tcW w:w="1193"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0-5分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55"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textAlignment w:val="auto"/>
              <w:rPr>
                <w:rFonts w:hint="eastAsia" w:ascii="宋体" w:hAnsi="Times New Roman" w:eastAsia="宋体" w:cs="Times New Roman"/>
                <w:sz w:val="21"/>
                <w:szCs w:val="21"/>
              </w:rPr>
            </w:pPr>
          </w:p>
        </w:tc>
        <w:tc>
          <w:tcPr>
            <w:tcW w:w="1527"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内部管理制度</w:t>
            </w:r>
          </w:p>
        </w:tc>
        <w:tc>
          <w:tcPr>
            <w:tcW w:w="4827"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根据投标人的管理制度、企业内部岗位责任制以及与本项目实施相关的运作制度和管理制度等，是否符合规范，体现高标准、科学合理、详细完整、利于项目实施等，由评标委员会综合评分：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1.制度详尽规范，科学合理，指导性、实用性强的，得5分；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2.制度较为贴切，符合实际，具有较强指导性、实用性的，得3分；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3.制度简单、存在不足，需进一步完善的，得1分；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4.差或未提供制度的不得分。</w:t>
            </w:r>
          </w:p>
        </w:tc>
        <w:tc>
          <w:tcPr>
            <w:tcW w:w="1193"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0-5分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55"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textAlignment w:val="auto"/>
              <w:rPr>
                <w:rFonts w:hint="eastAsia" w:ascii="宋体" w:hAnsi="Times New Roman" w:eastAsia="宋体" w:cs="Times New Roman"/>
                <w:sz w:val="21"/>
                <w:szCs w:val="21"/>
              </w:rPr>
            </w:pPr>
          </w:p>
        </w:tc>
        <w:tc>
          <w:tcPr>
            <w:tcW w:w="1527"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人员培训、管理制度</w:t>
            </w:r>
          </w:p>
        </w:tc>
        <w:tc>
          <w:tcPr>
            <w:tcW w:w="4827"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根据投标人结合本项目实际需要制订的对各类人员的培训计划、方式、目标，人员考核、奖罚、协调关系、服务意识、量化管理及标准运作等，由评标委员会综合评分：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1.培训、管理制度详尽，科学合理的，得5分；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2.培训、管理制度较为贴切、符合实际，具有较强可操作性的，得3分；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3.人员培训、管理制度简单，需进一步完善的，得1分；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4.差或未提供相关内容的不得分。</w:t>
            </w:r>
          </w:p>
        </w:tc>
        <w:tc>
          <w:tcPr>
            <w:tcW w:w="1193"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0-5分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55"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textAlignment w:val="auto"/>
              <w:rPr>
                <w:rFonts w:hint="eastAsia" w:ascii="宋体" w:hAnsi="Times New Roman" w:eastAsia="宋体" w:cs="Times New Roman"/>
                <w:sz w:val="21"/>
                <w:szCs w:val="21"/>
              </w:rPr>
            </w:pPr>
          </w:p>
        </w:tc>
        <w:tc>
          <w:tcPr>
            <w:tcW w:w="1527"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应急管理方案</w:t>
            </w:r>
          </w:p>
        </w:tc>
        <w:tc>
          <w:tcPr>
            <w:tcW w:w="4827"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根据投标人提供的应急处理预案全面性、安全性、预见性由评委会进行综合评价，</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详细具体，针对性强，有切实可行的保障措施的，得3分；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具有一定的实用性，基本可以保障项目质量的，得2分；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基本可行，细节有待完善的，得1分；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未提供的不得分。</w:t>
            </w:r>
          </w:p>
        </w:tc>
        <w:tc>
          <w:tcPr>
            <w:tcW w:w="1193"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0-3分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55"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textAlignment w:val="auto"/>
              <w:rPr>
                <w:rFonts w:hint="eastAsia" w:ascii="宋体" w:hAnsi="Times New Roman" w:eastAsia="宋体" w:cs="Times New Roman"/>
                <w:sz w:val="21"/>
                <w:szCs w:val="21"/>
              </w:rPr>
            </w:pPr>
          </w:p>
        </w:tc>
        <w:tc>
          <w:tcPr>
            <w:tcW w:w="1527"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人员配备</w:t>
            </w:r>
          </w:p>
        </w:tc>
        <w:tc>
          <w:tcPr>
            <w:tcW w:w="4827"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b/>
                <w:bCs/>
                <w:sz w:val="21"/>
                <w:szCs w:val="21"/>
              </w:rPr>
              <w:t>本项目拟派项目负责人（项目经理）：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1.具有XXX职称（或学历）的，得2分；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2.具有XXX职业技能等级（或职业资格）证书的，得2分；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3.具有XXX服务项目业绩的，每提供一个业绩得2分，满分6分。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b/>
                <w:bCs/>
                <w:sz w:val="21"/>
                <w:szCs w:val="21"/>
              </w:rPr>
              <w:t>除项目负责人（项目经理）外，其他项目人员：</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1.具有XXX职称（或学历）的，每提供1人得1分，满分3分；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2.具有XXX职业技能等级（或职业资格）证书的，每提供1人得1分，满分3分。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注：</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①人员证书：投标文件中须提供证书扫描件，学历证明材料须提供毕业（或学位）证书。</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②项目负责人（项目经理）业绩：投标文件中提供业绩合同扫描件，如合同中无法体现服务内容等评审因素的，须另提供业主单位（合同甲方）证明材料扫描件。上述业绩为已服务完毕业绩，投标文件中无需提供已服务完毕证明材料，在《投标业绩承诺函》中备注完成状态即可。</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③其他项目人员中同一人员具有多个证书的可累计计分。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④投标文件中提供投标人为上述人员缴纳的近三个月内（任意一个月）社保证明材料扫描件，具体详见投标人须知前附表。社保证明提供任意五险之一即可。</w:t>
            </w:r>
          </w:p>
        </w:tc>
        <w:tc>
          <w:tcPr>
            <w:tcW w:w="1193"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0-16分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55"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textAlignment w:val="auto"/>
              <w:rPr>
                <w:rFonts w:hint="eastAsia" w:ascii="宋体" w:hAnsi="Times New Roman" w:eastAsia="宋体" w:cs="Times New Roman"/>
                <w:sz w:val="21"/>
                <w:szCs w:val="21"/>
              </w:rPr>
            </w:pPr>
          </w:p>
        </w:tc>
        <w:tc>
          <w:tcPr>
            <w:tcW w:w="1527"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投标人业绩</w:t>
            </w:r>
          </w:p>
        </w:tc>
        <w:tc>
          <w:tcPr>
            <w:tcW w:w="4827"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lang w:val="en-US" w:eastAsia="zh-CN"/>
              </w:rPr>
              <w:t>近三年</w:t>
            </w:r>
            <w:r>
              <w:rPr>
                <w:rFonts w:hint="eastAsia" w:ascii="宋体" w:hAnsi="宋体" w:eastAsia="宋体" w:cs="宋体"/>
                <w:sz w:val="21"/>
                <w:szCs w:val="21"/>
              </w:rPr>
              <w:t>以来（以合同签订时间为准），投标人具有XXX服务项目业绩的，每提供一个业绩得4分，满分16分。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注：</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①同一业主单位业绩不重复计分。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②投标文件中提供业绩合同扫描件，如合同中无法体现合同签订时间、服务内容等评审因素的，须另提供业主单位（合同甲方）证明材料扫描件。</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③本项对正在履约或履约完成的项目业绩，均予认可。</w:t>
            </w:r>
          </w:p>
        </w:tc>
        <w:tc>
          <w:tcPr>
            <w:tcW w:w="1193"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0-16分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55"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textAlignment w:val="auto"/>
              <w:rPr>
                <w:rFonts w:hint="eastAsia" w:ascii="宋体" w:hAnsi="Times New Roman" w:eastAsia="宋体" w:cs="Times New Roman"/>
                <w:sz w:val="21"/>
                <w:szCs w:val="21"/>
              </w:rPr>
            </w:pPr>
          </w:p>
        </w:tc>
        <w:tc>
          <w:tcPr>
            <w:tcW w:w="1527"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履约评价</w:t>
            </w:r>
          </w:p>
        </w:tc>
        <w:tc>
          <w:tcPr>
            <w:tcW w:w="4827"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上述经评标委员会认可的业绩被所服务的业主单位评价为良好（或满意）及以上的，每个业绩的得1分，本项满分4分。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注：投标文件中提供业主单位（合同甲方）出具的履约情况评价证明材料扫描件。</w:t>
            </w:r>
          </w:p>
        </w:tc>
        <w:tc>
          <w:tcPr>
            <w:tcW w:w="1193"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0-4分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55"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textAlignment w:val="auto"/>
              <w:rPr>
                <w:rFonts w:hint="eastAsia" w:ascii="宋体" w:hAnsi="Times New Roman" w:eastAsia="宋体" w:cs="Times New Roman"/>
                <w:sz w:val="21"/>
                <w:szCs w:val="21"/>
              </w:rPr>
            </w:pPr>
          </w:p>
        </w:tc>
        <w:tc>
          <w:tcPr>
            <w:tcW w:w="1527"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管理体系认证</w:t>
            </w:r>
          </w:p>
        </w:tc>
        <w:tc>
          <w:tcPr>
            <w:tcW w:w="4827"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投标人具有经中国国家认证认可监督管理委员会认证机构颁发的有效的下列认证，每提供1个认证得2分，最高得6分。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1.质量管理体系认证；</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2.环境管理体系认证；</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3.职业健康安全管理体系认证；</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注：投标文件中同时提供证书扫描件及全国认证认可信息公共服务平台官网证书信息查询截图。</w:t>
            </w:r>
          </w:p>
        </w:tc>
        <w:tc>
          <w:tcPr>
            <w:tcW w:w="1193"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0-6分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55"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textAlignment w:val="auto"/>
              <w:rPr>
                <w:rFonts w:hint="eastAsia" w:ascii="宋体" w:hAnsi="Times New Roman" w:eastAsia="宋体" w:cs="Times New Roman"/>
                <w:sz w:val="21"/>
                <w:szCs w:val="21"/>
              </w:rPr>
            </w:pPr>
          </w:p>
        </w:tc>
        <w:tc>
          <w:tcPr>
            <w:tcW w:w="1527"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投标人荣誉</w:t>
            </w:r>
          </w:p>
        </w:tc>
        <w:tc>
          <w:tcPr>
            <w:tcW w:w="4827"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近三年</w:t>
            </w:r>
            <w:r>
              <w:rPr>
                <w:rFonts w:hint="eastAsia" w:ascii="宋体" w:hAnsi="宋体" w:eastAsia="宋体" w:cs="宋体"/>
                <w:sz w:val="21"/>
                <w:szCs w:val="21"/>
              </w:rPr>
              <w:t>以来，投标人（或投标人所服务的项目）获得政府部门颁发的XXX类奖项荣誉的：地市级的，每个得2分，省级及以上的，每个得3分，本项满分6分。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近三年</w:t>
            </w:r>
            <w:r>
              <w:rPr>
                <w:rFonts w:hint="eastAsia" w:ascii="宋体" w:hAnsi="宋体" w:eastAsia="宋体" w:cs="宋体"/>
                <w:sz w:val="21"/>
                <w:szCs w:val="21"/>
              </w:rPr>
              <w:t>以来，投标人（或投标人所服务的项目）获得国内依法登记注册的协会（学会）颁发的XXX类奖项荣誉的，每提供1个得1分，满分4分。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注：</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①投标文件中提供获奖证书、批复、颁奖单位颁奖文件、网上公示截图（具有其中之一即可）等证明材料。以上材料提供扫描件，须能体现评审因素，如无法体现，另附颁奖单位的相关证明材料，未提供或提供不全的不得分。“国内依法登记注册”以全国社会组织信用信息公示平台查询结果为准。投标文件中须提供该协会（学会）在全国社会组织信用信息公示平台查询结果截图。民政部公布的“离岸社团”“山寨社团”或全国社会组织信用信息公示平台公示的“涉嫌非法社会组织”颁发的荣誉、奖励均无效。</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②项目所获荣誉如不能体现投标人名称，需另附项目业主证明或项目对应合同等证明材料扫描件。</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③时间以获奖时间为准。</w:t>
            </w:r>
          </w:p>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textAlignment w:val="auto"/>
              <w:rPr>
                <w:rFonts w:eastAsia="宋体"/>
                <w:sz w:val="21"/>
                <w:szCs w:val="21"/>
              </w:rPr>
            </w:pPr>
            <w:r>
              <w:rPr>
                <w:rFonts w:hint="eastAsia" w:ascii="宋体" w:hAnsi="宋体" w:eastAsia="宋体" w:cs="宋体"/>
                <w:sz w:val="21"/>
                <w:szCs w:val="21"/>
              </w:rPr>
              <w:t>④政府部门颁发的奖项荣誉级别以国家行政区划为界定，如：地市级、自治州、地区、盟政府部门颁发的视为地市级，以此类推。</w:t>
            </w:r>
          </w:p>
        </w:tc>
        <w:tc>
          <w:tcPr>
            <w:tcW w:w="1193" w:type="dxa"/>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center"/>
              <w:textAlignment w:val="auto"/>
              <w:rPr>
                <w:rFonts w:eastAsia="宋体"/>
                <w:sz w:val="21"/>
                <w:szCs w:val="21"/>
              </w:rPr>
            </w:pPr>
            <w:r>
              <w:rPr>
                <w:rFonts w:hint="eastAsia" w:ascii="宋体" w:hAnsi="宋体" w:eastAsia="宋体" w:cs="宋体"/>
                <w:sz w:val="21"/>
                <w:szCs w:val="21"/>
              </w:rPr>
              <w:t>0-10分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255" w:type="dxa"/>
            <w:tcBorders>
              <w:top w:val="nil"/>
              <w:left w:val="single" w:color="auto" w:sz="8" w:space="0"/>
              <w:bottom w:val="single" w:color="auto" w:sz="8" w:space="0"/>
              <w:right w:val="single" w:color="auto" w:sz="8" w:space="0"/>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80" w:lineRule="exact"/>
              <w:ind w:left="0" w:right="0"/>
              <w:jc w:val="center"/>
              <w:textAlignment w:val="auto"/>
              <w:rPr>
                <w:rFonts w:ascii="Times New Roman" w:hAnsi="Times New Roman" w:eastAsia="宋体" w:cs="Times New Roman"/>
                <w:sz w:val="21"/>
                <w:szCs w:val="21"/>
              </w:rPr>
            </w:pPr>
            <w:r>
              <w:rPr>
                <w:rFonts w:hint="eastAsia" w:ascii="宋体" w:hAnsi="宋体" w:eastAsia="宋体" w:cs="宋体"/>
                <w:kern w:val="0"/>
                <w:sz w:val="21"/>
                <w:szCs w:val="21"/>
                <w:lang w:val="en-US" w:eastAsia="zh-CN" w:bidi="ar"/>
              </w:rPr>
              <w:t>价格分</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jc w:val="center"/>
              <w:textAlignment w:val="auto"/>
              <w:rPr>
                <w:rFonts w:hint="eastAsia" w:ascii="宋体" w:hAnsi="Times New Roman" w:eastAsia="宋体" w:cs="Times New Roman"/>
                <w:sz w:val="21"/>
                <w:szCs w:val="21"/>
              </w:rPr>
            </w:pPr>
            <w:r>
              <w:rPr>
                <w:rFonts w:hint="eastAsia" w:ascii="宋体" w:hAnsi="宋体" w:eastAsia="宋体" w:cs="宋体"/>
                <w:kern w:val="0"/>
                <w:sz w:val="21"/>
                <w:szCs w:val="21"/>
                <w:lang w:val="en-US" w:eastAsia="zh-CN" w:bidi="ar"/>
              </w:rPr>
              <w:t>（</w:t>
            </w:r>
            <w:r>
              <w:rPr>
                <w:rFonts w:hint="eastAsia" w:ascii="宋体" w:hAnsi="宋体" w:eastAsia="宋体" w:cs="宋体"/>
                <w:kern w:val="0"/>
                <w:sz w:val="21"/>
                <w:szCs w:val="21"/>
                <w:u w:val="single"/>
                <w:lang w:val="en-US" w:eastAsia="zh-CN" w:bidi="ar"/>
              </w:rPr>
              <w:t>30</w:t>
            </w:r>
            <w:r>
              <w:rPr>
                <w:rFonts w:hint="eastAsia" w:ascii="宋体" w:hAnsi="宋体" w:eastAsia="宋体" w:cs="宋体"/>
                <w:kern w:val="0"/>
                <w:sz w:val="21"/>
                <w:szCs w:val="21"/>
                <w:lang w:val="en-US" w:eastAsia="zh-CN" w:bidi="ar"/>
              </w:rPr>
              <w:t>分）</w:t>
            </w:r>
          </w:p>
        </w:tc>
        <w:tc>
          <w:tcPr>
            <w:tcW w:w="7547" w:type="dxa"/>
            <w:gridSpan w:val="3"/>
            <w:tcBorders>
              <w:top w:val="nil"/>
              <w:left w:val="nil"/>
              <w:bottom w:val="single" w:color="auto" w:sz="8" w:space="0"/>
              <w:right w:val="single" w:color="auto" w:sz="8" w:space="0"/>
            </w:tcBorders>
            <w:noWrap w:val="0"/>
            <w:tcMar>
              <w:left w:w="108" w:type="dxa"/>
              <w:right w:w="108"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80" w:lineRule="exact"/>
              <w:ind w:left="0" w:right="0"/>
              <w:jc w:val="both"/>
              <w:textAlignment w:val="auto"/>
              <w:rPr>
                <w:rFonts w:hint="eastAsia" w:ascii="宋体" w:hAnsi="宋体" w:eastAsia="宋体" w:cs="宋体"/>
                <w:sz w:val="21"/>
                <w:szCs w:val="21"/>
              </w:rPr>
            </w:pPr>
            <w:r>
              <w:rPr>
                <w:rFonts w:hint="eastAsia" w:ascii="宋体" w:hAnsi="宋体" w:eastAsia="宋体" w:cs="宋体"/>
                <w:kern w:val="0"/>
                <w:sz w:val="21"/>
                <w:szCs w:val="21"/>
                <w:lang w:val="en-US" w:eastAsia="zh-CN" w:bidi="ar"/>
              </w:rPr>
              <w:t>价格分统一采用低价优先法，即满足招标文件要求且投标价格最低的投标报价为评标基准价，其价格分为满分</w:t>
            </w:r>
            <w:r>
              <w:rPr>
                <w:rFonts w:hint="eastAsia" w:ascii="宋体" w:hAnsi="宋体" w:eastAsia="宋体" w:cs="宋体"/>
                <w:kern w:val="0"/>
                <w:sz w:val="21"/>
                <w:szCs w:val="21"/>
                <w:u w:val="single"/>
                <w:lang w:val="en-US" w:eastAsia="zh-CN" w:bidi="ar"/>
              </w:rPr>
              <w:t>30</w:t>
            </w:r>
            <w:r>
              <w:rPr>
                <w:rFonts w:hint="eastAsia" w:ascii="宋体" w:hAnsi="宋体" w:eastAsia="宋体" w:cs="宋体"/>
                <w:kern w:val="0"/>
                <w:sz w:val="21"/>
                <w:szCs w:val="21"/>
                <w:lang w:val="en-US" w:eastAsia="zh-CN" w:bidi="ar"/>
              </w:rPr>
              <w:t>分。其他投标人的价格分统一按照下列公式计算：投标报价得分＝（评标基准价/投标报价）×</w:t>
            </w:r>
            <w:r>
              <w:rPr>
                <w:rFonts w:hint="eastAsia" w:ascii="宋体" w:hAnsi="宋体" w:eastAsia="宋体" w:cs="宋体"/>
                <w:kern w:val="0"/>
                <w:sz w:val="21"/>
                <w:szCs w:val="21"/>
                <w:u w:val="single"/>
                <w:lang w:val="en-US" w:eastAsia="zh-CN" w:bidi="ar"/>
              </w:rPr>
              <w:t>30</w:t>
            </w:r>
            <w:r>
              <w:rPr>
                <w:rFonts w:hint="eastAsia" w:ascii="宋体" w:hAnsi="宋体" w:eastAsia="宋体" w:cs="宋体"/>
                <w:kern w:val="0"/>
                <w:sz w:val="21"/>
                <w:szCs w:val="21"/>
                <w:lang w:val="en-US" w:eastAsia="zh-CN" w:bidi="ar"/>
              </w:rPr>
              <w:t>％×100</w:t>
            </w:r>
          </w:p>
        </w:tc>
      </w:tr>
    </w:tbl>
    <w:p>
      <w:pPr>
        <w:pStyle w:val="2"/>
        <w:keepNext w:val="0"/>
        <w:keepLines w:val="0"/>
        <w:widowControl/>
        <w:suppressLineNumbers w:val="0"/>
        <w:spacing w:before="100" w:beforeAutospacing="1" w:after="100" w:afterAutospacing="1" w:line="360" w:lineRule="atLeast"/>
        <w:ind w:left="0" w:right="0" w:firstLine="0"/>
        <w:rPr>
          <w:rFonts w:hint="default"/>
          <w:i/>
          <w:iCs/>
          <w:sz w:val="24"/>
          <w:szCs w:val="32"/>
          <w:u w:val="single"/>
          <w:lang w:val="en-US" w:eastAsia="zh-CN"/>
        </w:rPr>
      </w:pPr>
      <w:r>
        <w:rPr>
          <w:rFonts w:hint="eastAsia" w:eastAsia="宋体" w:cs="宋体"/>
          <w:i/>
          <w:iCs/>
          <w:caps w:val="0"/>
          <w:color w:val="FF0000"/>
          <w:spacing w:val="0"/>
          <w:sz w:val="24"/>
          <w:szCs w:val="24"/>
          <w:lang w:val="en-US" w:eastAsia="zh-CN"/>
        </w:rPr>
        <w:t>（3）工程类按规定自行制定。</w:t>
      </w:r>
      <w:r>
        <w:rPr>
          <w:rFonts w:hint="eastAsia" w:ascii="宋体" w:hAnsi="宋体" w:eastAsia="宋体" w:cs="宋体"/>
          <w:i/>
          <w:iCs/>
          <w:caps w:val="0"/>
          <w:color w:val="000000"/>
          <w:spacing w:val="0"/>
          <w:sz w:val="24"/>
          <w:szCs w:val="24"/>
        </w:rPr>
        <w:t> </w:t>
      </w:r>
    </w:p>
    <w:p>
      <w:pPr>
        <w:numPr>
          <w:ilvl w:val="0"/>
          <w:numId w:val="0"/>
        </w:numPr>
        <w:rPr>
          <w:rFonts w:hint="eastAsia"/>
          <w:b/>
          <w:bCs/>
          <w:i w:val="0"/>
          <w:iCs w:val="0"/>
          <w:sz w:val="24"/>
          <w:szCs w:val="32"/>
          <w:u w:val="none"/>
          <w:lang w:val="en-US" w:eastAsia="zh-CN"/>
        </w:rPr>
      </w:pPr>
      <w:r>
        <w:rPr>
          <w:rFonts w:hint="eastAsia"/>
          <w:b/>
          <w:bCs/>
          <w:i w:val="0"/>
          <w:iCs w:val="0"/>
          <w:sz w:val="24"/>
          <w:szCs w:val="32"/>
          <w:u w:val="none"/>
          <w:lang w:val="en-US" w:eastAsia="zh-CN"/>
        </w:rPr>
        <w:t>2. 第2包</w:t>
      </w:r>
    </w:p>
    <w:p>
      <w:pPr>
        <w:numPr>
          <w:ilvl w:val="0"/>
          <w:numId w:val="0"/>
        </w:numPr>
        <w:rPr>
          <w:rFonts w:hint="eastAsia"/>
          <w:b/>
          <w:bCs/>
          <w:i w:val="0"/>
          <w:iCs w:val="0"/>
          <w:sz w:val="24"/>
          <w:szCs w:val="32"/>
          <w:u w:val="none"/>
          <w:lang w:val="en-US" w:eastAsia="zh-CN"/>
        </w:rPr>
      </w:pPr>
      <w:r>
        <w:rPr>
          <w:rFonts w:hint="eastAsia"/>
          <w:b/>
          <w:bCs/>
          <w:i w:val="0"/>
          <w:iCs w:val="0"/>
          <w:sz w:val="24"/>
          <w:szCs w:val="32"/>
          <w:u w:val="none"/>
          <w:lang w:val="en-US" w:eastAsia="zh-CN"/>
        </w:rPr>
        <w:t>……</w:t>
      </w:r>
    </w:p>
    <w:p>
      <w:pPr>
        <w:numPr>
          <w:ilvl w:val="0"/>
          <w:numId w:val="0"/>
        </w:numPr>
        <w:rPr>
          <w:rFonts w:hint="eastAsia"/>
          <w:b/>
          <w:color w:val="auto"/>
          <w:sz w:val="28"/>
          <w:szCs w:val="21"/>
          <w:lang w:eastAsia="zh-CN"/>
        </w:rPr>
      </w:pPr>
      <w:r>
        <w:rPr>
          <w:rFonts w:hint="eastAsia"/>
          <w:b/>
          <w:color w:val="auto"/>
          <w:sz w:val="28"/>
          <w:szCs w:val="21"/>
          <w:lang w:val="en-US" w:eastAsia="zh-CN"/>
        </w:rPr>
        <w:t>十五、</w:t>
      </w:r>
      <w:r>
        <w:rPr>
          <w:rFonts w:hint="eastAsia"/>
          <w:b/>
          <w:color w:val="auto"/>
          <w:sz w:val="28"/>
          <w:szCs w:val="21"/>
          <w:lang w:eastAsia="zh-CN"/>
        </w:rPr>
        <w:t>合同：</w:t>
      </w:r>
    </w:p>
    <w:p>
      <w:pPr>
        <w:numPr>
          <w:ilvl w:val="0"/>
          <w:numId w:val="0"/>
        </w:numPr>
        <w:rPr>
          <w:rFonts w:hint="eastAsia"/>
          <w:b/>
          <w:color w:val="auto"/>
          <w:sz w:val="28"/>
          <w:szCs w:val="21"/>
          <w:lang w:val="en-US" w:eastAsia="zh-CN"/>
        </w:rPr>
      </w:pPr>
      <w:r>
        <w:rPr>
          <w:rFonts w:hint="eastAsia"/>
          <w:b/>
          <w:color w:val="auto"/>
          <w:sz w:val="28"/>
          <w:szCs w:val="21"/>
          <w:lang w:val="en-US" w:eastAsia="zh-CN"/>
        </w:rPr>
        <w:t>1、合同类型：</w:t>
      </w:r>
    </w:p>
    <w:p>
      <w:pPr>
        <w:numPr>
          <w:ilvl w:val="0"/>
          <w:numId w:val="0"/>
        </w:numPr>
        <w:ind w:firstLine="420" w:firstLineChars="200"/>
        <w:rPr>
          <w:rFonts w:hint="eastAsia" w:ascii="仿宋" w:hAnsi="仿宋" w:eastAsia="仿宋" w:cs="仿宋"/>
          <w:i w:val="0"/>
          <w:iCs w:val="0"/>
          <w:sz w:val="21"/>
          <w:szCs w:val="21"/>
          <w:u w:val="none"/>
          <w:lang w:val="en-US" w:eastAsia="zh-CN"/>
        </w:rPr>
      </w:pPr>
      <w:r>
        <w:rPr>
          <w:rFonts w:hint="eastAsia" w:ascii="仿宋" w:hAnsi="仿宋" w:eastAsia="仿宋" w:cs="仿宋"/>
          <w:i w:val="0"/>
          <w:iCs w:val="0"/>
          <w:sz w:val="21"/>
          <w:szCs w:val="21"/>
          <w:u w:val="none"/>
          <w:lang w:val="en-US" w:eastAsia="zh-CN"/>
        </w:rPr>
        <w:t>合同类型按照《民法典》规定的典型合同类别，结合采购标的的实际情况确定。</w:t>
      </w:r>
    </w:p>
    <w:p>
      <w:pPr>
        <w:numPr>
          <w:ilvl w:val="0"/>
          <w:numId w:val="0"/>
        </w:numPr>
        <w:rPr>
          <w:rFonts w:hint="default"/>
          <w:b/>
          <w:bCs/>
          <w:i w:val="0"/>
          <w:iCs w:val="0"/>
          <w:sz w:val="24"/>
          <w:szCs w:val="32"/>
          <w:u w:val="none"/>
          <w:lang w:val="en-US" w:eastAsia="zh-CN"/>
        </w:rPr>
      </w:pPr>
      <w:r>
        <w:rPr>
          <w:rFonts w:hint="eastAsia"/>
          <w:b/>
          <w:bCs/>
          <w:i w:val="0"/>
          <w:iCs w:val="0"/>
          <w:sz w:val="24"/>
          <w:szCs w:val="32"/>
          <w:u w:val="none"/>
          <w:lang w:val="en-US" w:eastAsia="zh-CN"/>
        </w:rPr>
        <w:t>第1包：</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non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 xml:space="preserve">买卖合同   </w:t>
      </w:r>
      <w:r>
        <w:rPr>
          <w:rFonts w:hint="eastAsia"/>
          <w:i w:val="0"/>
          <w:iCs w:val="0"/>
          <w:sz w:val="24"/>
          <w:szCs w:val="32"/>
          <w:u w:val="none"/>
          <w:lang w:val="en-US" w:eastAsia="zh-CN"/>
        </w:rPr>
        <w:sym w:font="Wingdings" w:char="00A8"/>
      </w:r>
      <w:r>
        <w:rPr>
          <w:rFonts w:hint="eastAsia"/>
          <w:i w:val="0"/>
          <w:iCs w:val="0"/>
          <w:sz w:val="24"/>
          <w:szCs w:val="32"/>
          <w:u w:val="none"/>
          <w:lang w:val="en-US" w:eastAsia="zh-CN"/>
        </w:rPr>
        <w:t xml:space="preserve">建设工程合同   </w:t>
      </w:r>
      <w:r>
        <w:rPr>
          <w:rFonts w:hint="eastAsia"/>
          <w:i w:val="0"/>
          <w:iCs w:val="0"/>
          <w:sz w:val="24"/>
          <w:szCs w:val="32"/>
          <w:u w:val="none"/>
          <w:lang w:val="en-US" w:eastAsia="zh-CN"/>
        </w:rPr>
        <w:sym w:font="Wingdings" w:char="00A8"/>
      </w:r>
      <w:r>
        <w:rPr>
          <w:rFonts w:hint="eastAsia"/>
          <w:i w:val="0"/>
          <w:iCs w:val="0"/>
          <w:sz w:val="24"/>
          <w:szCs w:val="32"/>
          <w:u w:val="none"/>
          <w:lang w:val="en-US" w:eastAsia="zh-CN"/>
        </w:rPr>
        <w:t xml:space="preserve">技术合同   </w:t>
      </w:r>
      <w:r>
        <w:rPr>
          <w:rFonts w:hint="eastAsia"/>
          <w:i w:val="0"/>
          <w:iCs w:val="0"/>
          <w:sz w:val="24"/>
          <w:szCs w:val="32"/>
          <w:u w:val="none"/>
          <w:lang w:val="en-US" w:eastAsia="zh-CN"/>
        </w:rPr>
        <w:sym w:font="Wingdings" w:char="00A8"/>
      </w:r>
      <w:r>
        <w:rPr>
          <w:rFonts w:hint="eastAsia"/>
          <w:i w:val="0"/>
          <w:iCs w:val="0"/>
          <w:sz w:val="24"/>
          <w:szCs w:val="32"/>
          <w:u w:val="none"/>
          <w:lang w:val="en-US" w:eastAsia="zh-CN"/>
        </w:rPr>
        <w:t>物业服务合同</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 xml:space="preserve">委托合同   </w:t>
      </w:r>
      <w:r>
        <w:rPr>
          <w:rFonts w:hint="eastAsia"/>
          <w:i w:val="0"/>
          <w:iCs w:val="0"/>
          <w:sz w:val="24"/>
          <w:szCs w:val="32"/>
          <w:u w:val="none"/>
          <w:lang w:val="en-US" w:eastAsia="zh-CN"/>
        </w:rPr>
        <w:sym w:font="Wingdings" w:char="00A8"/>
      </w:r>
      <w:r>
        <w:rPr>
          <w:rFonts w:hint="eastAsia"/>
          <w:i w:val="0"/>
          <w:iCs w:val="0"/>
          <w:sz w:val="24"/>
          <w:szCs w:val="32"/>
          <w:u w:val="none"/>
          <w:lang w:val="en-US" w:eastAsia="zh-CN"/>
        </w:rPr>
        <w:t>其他：</w:t>
      </w:r>
      <w:r>
        <w:rPr>
          <w:rFonts w:hint="eastAsia"/>
          <w:i w:val="0"/>
          <w:iCs w:val="0"/>
          <w:sz w:val="24"/>
          <w:szCs w:val="32"/>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t>选择合同类型的理由：</w:t>
      </w:r>
      <w:r>
        <w:rPr>
          <w:rFonts w:hint="eastAsia"/>
          <w:i w:val="0"/>
          <w:iCs w:val="0"/>
          <w:sz w:val="24"/>
          <w:szCs w:val="32"/>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bCs/>
          <w:i w:val="0"/>
          <w:iCs w:val="0"/>
          <w:sz w:val="24"/>
          <w:szCs w:val="32"/>
          <w:u w:val="none"/>
          <w:lang w:val="en-US" w:eastAsia="zh-CN"/>
        </w:rPr>
      </w:pPr>
      <w:r>
        <w:rPr>
          <w:rFonts w:hint="eastAsia"/>
          <w:b/>
          <w:bCs/>
          <w:i w:val="0"/>
          <w:iCs w:val="0"/>
          <w:sz w:val="24"/>
          <w:szCs w:val="32"/>
          <w:u w:val="none"/>
          <w:lang w:val="en-US" w:eastAsia="zh-CN"/>
        </w:rPr>
        <w:t>第2包：</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val="0"/>
          <w:bCs w:val="0"/>
          <w:i w:val="0"/>
          <w:iCs w:val="0"/>
          <w:sz w:val="24"/>
          <w:szCs w:val="32"/>
          <w:u w:val="none"/>
          <w:lang w:val="en-US" w:eastAsia="zh-CN"/>
        </w:rPr>
      </w:pPr>
      <w:r>
        <w:rPr>
          <w:rFonts w:hint="eastAsia"/>
          <w:b/>
          <w:bCs/>
          <w:i w:val="0"/>
          <w:iCs w:val="0"/>
          <w:sz w:val="24"/>
          <w:szCs w:val="32"/>
          <w:u w:val="none"/>
          <w:lang w:val="en-US" w:eastAsia="zh-CN"/>
        </w:rPr>
        <w:t>……</w:t>
      </w:r>
    </w:p>
    <w:p>
      <w:pPr>
        <w:numPr>
          <w:ilvl w:val="0"/>
          <w:numId w:val="0"/>
        </w:numPr>
        <w:rPr>
          <w:rFonts w:hint="eastAsia"/>
          <w:b/>
          <w:color w:val="auto"/>
          <w:sz w:val="28"/>
          <w:szCs w:val="21"/>
          <w:lang w:val="en-US" w:eastAsia="zh-CN"/>
        </w:rPr>
      </w:pPr>
      <w:r>
        <w:rPr>
          <w:rFonts w:hint="eastAsia"/>
          <w:b/>
          <w:color w:val="auto"/>
          <w:sz w:val="28"/>
          <w:szCs w:val="21"/>
          <w:lang w:val="en-US" w:eastAsia="zh-CN"/>
        </w:rPr>
        <w:t>2、定价方式：</w:t>
      </w:r>
    </w:p>
    <w:p>
      <w:pPr>
        <w:numPr>
          <w:ilvl w:val="0"/>
          <w:numId w:val="0"/>
        </w:numPr>
        <w:ind w:firstLine="420" w:firstLineChars="200"/>
        <w:rPr>
          <w:rFonts w:hint="eastAsia" w:ascii="仿宋" w:hAnsi="仿宋" w:eastAsia="仿宋" w:cs="仿宋"/>
          <w:i w:val="0"/>
          <w:iCs w:val="0"/>
          <w:sz w:val="21"/>
          <w:szCs w:val="24"/>
          <w:u w:val="none"/>
          <w:lang w:val="en-US" w:eastAsia="zh-CN"/>
        </w:rPr>
      </w:pPr>
      <w:r>
        <w:rPr>
          <w:rFonts w:hint="eastAsia" w:ascii="仿宋" w:hAnsi="仿宋" w:eastAsia="仿宋" w:cs="仿宋"/>
          <w:i w:val="0"/>
          <w:iCs w:val="0"/>
          <w:sz w:val="21"/>
          <w:szCs w:val="24"/>
          <w:u w:val="none"/>
          <w:lang w:val="en-US" w:eastAsia="zh-CN"/>
        </w:rPr>
        <w:t>采购需求客观、明确且规格、标准统一的采购项目，如通用设备、物业管理等，采用固定总价或者固定单价的定价方式。</w:t>
      </w:r>
    </w:p>
    <w:p>
      <w:pPr>
        <w:numPr>
          <w:ilvl w:val="0"/>
          <w:numId w:val="0"/>
        </w:numPr>
        <w:ind w:firstLine="420" w:firstLineChars="200"/>
        <w:rPr>
          <w:rFonts w:hint="eastAsia" w:ascii="仿宋" w:hAnsi="仿宋" w:eastAsia="仿宋" w:cs="仿宋"/>
          <w:i w:val="0"/>
          <w:iCs w:val="0"/>
          <w:sz w:val="21"/>
          <w:szCs w:val="24"/>
          <w:u w:val="none"/>
          <w:lang w:val="en-US" w:eastAsia="zh-CN"/>
        </w:rPr>
      </w:pPr>
      <w:r>
        <w:rPr>
          <w:rFonts w:hint="eastAsia" w:ascii="仿宋" w:hAnsi="仿宋" w:eastAsia="仿宋" w:cs="仿宋"/>
          <w:i w:val="0"/>
          <w:iCs w:val="0"/>
          <w:sz w:val="21"/>
          <w:szCs w:val="24"/>
          <w:u w:val="none"/>
          <w:lang w:val="en-US" w:eastAsia="zh-CN"/>
        </w:rPr>
        <w:t>采购需求客观、明确，且技术较复杂或者专业性较强的采购项目，如大型装备、咨询服务等，采用固定总价或者固定单价的定价方式。</w:t>
      </w:r>
    </w:p>
    <w:p>
      <w:pPr>
        <w:numPr>
          <w:ilvl w:val="0"/>
          <w:numId w:val="0"/>
        </w:numPr>
        <w:ind w:firstLine="420" w:firstLineChars="200"/>
        <w:rPr>
          <w:rFonts w:hint="eastAsia" w:ascii="仿宋" w:hAnsi="仿宋" w:eastAsia="仿宋" w:cs="仿宋"/>
          <w:i w:val="0"/>
          <w:iCs w:val="0"/>
          <w:sz w:val="21"/>
          <w:szCs w:val="24"/>
          <w:u w:val="none"/>
          <w:lang w:val="en-US" w:eastAsia="zh-CN"/>
        </w:rPr>
      </w:pPr>
      <w:r>
        <w:rPr>
          <w:rFonts w:hint="eastAsia" w:ascii="仿宋" w:hAnsi="仿宋" w:eastAsia="仿宋" w:cs="仿宋"/>
          <w:i w:val="0"/>
          <w:iCs w:val="0"/>
          <w:sz w:val="21"/>
          <w:szCs w:val="24"/>
          <w:u w:val="none"/>
          <w:lang w:val="en-US" w:eastAsia="zh-CN"/>
        </w:rPr>
        <w:t>不能完全确定客观指标，需由供应商提供设计方案、解决方案或者组织方案的采购项目，如首购订购、设计服务、政府和社会资本合作等，根据实现项目目标的要求，采取固定总价或者固定单价、成本补偿、绩效激励等单一或者组合定价方式。</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bCs/>
          <w:i w:val="0"/>
          <w:iCs w:val="0"/>
          <w:sz w:val="24"/>
          <w:szCs w:val="32"/>
          <w:u w:val="none"/>
          <w:lang w:val="en-US" w:eastAsia="zh-CN"/>
        </w:rPr>
      </w:pPr>
      <w:r>
        <w:rPr>
          <w:rFonts w:hint="eastAsia"/>
          <w:b/>
          <w:bCs/>
          <w:i w:val="0"/>
          <w:iCs w:val="0"/>
          <w:sz w:val="24"/>
          <w:szCs w:val="32"/>
          <w:u w:val="none"/>
          <w:lang w:val="en-US" w:eastAsia="zh-CN"/>
        </w:rPr>
        <w:t>第1包：</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固定总价，要求：</w:t>
      </w:r>
      <w:r>
        <w:rPr>
          <w:rFonts w:hint="eastAsia"/>
          <w:i w:val="0"/>
          <w:iCs w:val="0"/>
          <w:sz w:val="24"/>
          <w:szCs w:val="32"/>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i/>
          <w:iCs/>
          <w:color w:val="FF0000"/>
          <w:sz w:val="24"/>
          <w:szCs w:val="32"/>
          <w:u w:val="none"/>
          <w:lang w:val="en-US" w:eastAsia="zh-CN"/>
        </w:rPr>
      </w:pPr>
      <w:r>
        <w:rPr>
          <w:rFonts w:hint="eastAsia"/>
          <w:i/>
          <w:iCs/>
          <w:color w:val="FF0000"/>
          <w:sz w:val="24"/>
          <w:szCs w:val="32"/>
          <w:u w:val="none"/>
          <w:lang w:val="en-US" w:eastAsia="zh-CN"/>
        </w:rPr>
        <w:t>（固定总价即按成交总价签订合同，总价固定。项目成本控制风险主要由供应商承担）。</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固定单价，要求：</w:t>
      </w:r>
      <w:r>
        <w:rPr>
          <w:rFonts w:hint="eastAsia"/>
          <w:i w:val="0"/>
          <w:iCs w:val="0"/>
          <w:sz w:val="24"/>
          <w:szCs w:val="32"/>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iCs/>
          <w:color w:val="FF0000"/>
          <w:sz w:val="24"/>
          <w:szCs w:val="32"/>
          <w:u w:val="none"/>
          <w:lang w:val="en-US" w:eastAsia="zh-CN"/>
        </w:rPr>
      </w:pPr>
      <w:r>
        <w:rPr>
          <w:rFonts w:hint="eastAsia"/>
          <w:i/>
          <w:iCs/>
          <w:color w:val="FF0000"/>
          <w:sz w:val="24"/>
          <w:szCs w:val="32"/>
          <w:u w:val="none"/>
          <w:lang w:val="en-US" w:eastAsia="zh-CN"/>
        </w:rPr>
        <w:t>（固定单价即合同签订时的因实际数量无法确定，成交总价为暂定价格，但成交单价固定，结算时以单价乘以实际数量计算实际总价。项目成本控制风险双方均担）。</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成本加酬金，要求：</w:t>
      </w:r>
      <w:r>
        <w:rPr>
          <w:rFonts w:hint="eastAsia"/>
          <w:i w:val="0"/>
          <w:iCs w:val="0"/>
          <w:sz w:val="24"/>
          <w:szCs w:val="32"/>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iCs/>
          <w:color w:val="FF0000"/>
          <w:sz w:val="24"/>
          <w:szCs w:val="32"/>
          <w:u w:val="none"/>
          <w:lang w:val="en-US" w:eastAsia="zh-CN"/>
        </w:rPr>
      </w:pPr>
      <w:r>
        <w:rPr>
          <w:rFonts w:hint="eastAsia"/>
          <w:i/>
          <w:iCs/>
          <w:color w:val="FF0000"/>
          <w:sz w:val="24"/>
          <w:szCs w:val="32"/>
          <w:u w:val="none"/>
          <w:lang w:val="en-US" w:eastAsia="zh-CN"/>
        </w:rPr>
        <w:t>（成本加酬金即合同签订时约定除支付实际成本外，还需支付酬金，酬金计算方式由采购人事先确定。）。</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绩效激励，要求：</w:t>
      </w:r>
      <w:r>
        <w:rPr>
          <w:rFonts w:hint="eastAsia"/>
          <w:i w:val="0"/>
          <w:iCs w:val="0"/>
          <w:sz w:val="24"/>
          <w:szCs w:val="32"/>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iCs/>
          <w:color w:val="FF0000"/>
          <w:sz w:val="24"/>
          <w:szCs w:val="32"/>
          <w:u w:val="none"/>
          <w:lang w:val="en-US" w:eastAsia="zh-CN"/>
        </w:rPr>
      </w:pPr>
      <w:r>
        <w:rPr>
          <w:rFonts w:hint="eastAsia"/>
          <w:i/>
          <w:iCs/>
          <w:color w:val="FF0000"/>
          <w:sz w:val="24"/>
          <w:szCs w:val="32"/>
          <w:u w:val="none"/>
          <w:lang w:val="en-US" w:eastAsia="zh-CN"/>
        </w:rPr>
        <w:t>（绩效激励即在合同签订时约定根据成交供应商在完成项目后，根据项目完成情况，给予供应商的奖金。项目成本控制风险主要由采购人承担。）。</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t>选择定价方式的理由：</w:t>
      </w:r>
      <w:r>
        <w:rPr>
          <w:rFonts w:hint="eastAsia"/>
          <w:i w:val="0"/>
          <w:iCs w:val="0"/>
          <w:sz w:val="24"/>
          <w:szCs w:val="32"/>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bCs/>
          <w:i w:val="0"/>
          <w:iCs w:val="0"/>
          <w:sz w:val="24"/>
          <w:szCs w:val="32"/>
          <w:u w:val="none"/>
          <w:lang w:val="en-US" w:eastAsia="zh-CN"/>
        </w:rPr>
      </w:pPr>
      <w:r>
        <w:rPr>
          <w:rFonts w:hint="eastAsia"/>
          <w:b/>
          <w:bCs/>
          <w:i w:val="0"/>
          <w:iCs w:val="0"/>
          <w:sz w:val="24"/>
          <w:szCs w:val="32"/>
          <w:u w:val="none"/>
          <w:lang w:val="en-US" w:eastAsia="zh-CN"/>
        </w:rPr>
        <w:t>第2包：</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bCs/>
          <w:i w:val="0"/>
          <w:iCs w:val="0"/>
          <w:sz w:val="24"/>
          <w:szCs w:val="32"/>
          <w:u w:val="none"/>
          <w:lang w:val="en-US" w:eastAsia="zh-CN"/>
        </w:rPr>
      </w:pPr>
      <w:r>
        <w:rPr>
          <w:rFonts w:hint="eastAsia"/>
          <w:b/>
          <w:bCs/>
          <w:i w:val="0"/>
          <w:iCs w:val="0"/>
          <w:sz w:val="24"/>
          <w:szCs w:val="32"/>
          <w:u w:val="none"/>
          <w:lang w:val="en-US" w:eastAsia="zh-CN"/>
        </w:rPr>
        <w:t>……</w:t>
      </w:r>
    </w:p>
    <w:p>
      <w:pPr>
        <w:numPr>
          <w:ilvl w:val="0"/>
          <w:numId w:val="0"/>
        </w:numPr>
        <w:rPr>
          <w:rFonts w:hint="eastAsia"/>
          <w:b/>
          <w:color w:val="auto"/>
          <w:sz w:val="28"/>
          <w:szCs w:val="21"/>
          <w:lang w:val="en-US" w:eastAsia="zh-CN"/>
        </w:rPr>
      </w:pPr>
      <w:r>
        <w:rPr>
          <w:rFonts w:hint="eastAsia"/>
          <w:b/>
          <w:color w:val="auto"/>
          <w:sz w:val="28"/>
          <w:szCs w:val="21"/>
          <w:lang w:val="en-US" w:eastAsia="zh-CN"/>
        </w:rPr>
        <w:t>3、合同主要条款文本：</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bCs/>
          <w:i w:val="0"/>
          <w:iCs w:val="0"/>
          <w:sz w:val="24"/>
          <w:szCs w:val="32"/>
          <w:u w:val="none"/>
          <w:lang w:val="en-US" w:eastAsia="zh-CN"/>
        </w:rPr>
      </w:pPr>
      <w:r>
        <w:rPr>
          <w:rFonts w:hint="eastAsia"/>
          <w:b/>
          <w:bCs/>
          <w:i w:val="0"/>
          <w:iCs w:val="0"/>
          <w:sz w:val="24"/>
          <w:szCs w:val="32"/>
          <w:u w:val="none"/>
          <w:lang w:val="en-US" w:eastAsia="zh-CN"/>
        </w:rPr>
        <w:t>第1包：</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bCs/>
          <w:i w:val="0"/>
          <w:iCs w:val="0"/>
          <w:sz w:val="24"/>
          <w:szCs w:val="32"/>
          <w:u w:val="none"/>
          <w:lang w:val="en-US" w:eastAsia="zh-CN"/>
        </w:rPr>
      </w:pPr>
      <w:r>
        <w:rPr>
          <w:rFonts w:hint="eastAsia"/>
          <w:b/>
          <w:bCs/>
          <w:i w:val="0"/>
          <w:iCs w:val="0"/>
          <w:sz w:val="24"/>
          <w:szCs w:val="32"/>
          <w:u w:val="none"/>
          <w:lang w:val="en-US" w:eastAsia="zh-CN"/>
        </w:rPr>
        <w:t>第2包：</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bCs/>
          <w:i w:val="0"/>
          <w:iCs w:val="0"/>
          <w:sz w:val="24"/>
          <w:szCs w:val="32"/>
          <w:u w:val="none"/>
          <w:lang w:val="en-US" w:eastAsia="zh-CN"/>
        </w:rPr>
      </w:pPr>
      <w:r>
        <w:rPr>
          <w:rFonts w:hint="eastAsia"/>
          <w:b/>
          <w:bCs/>
          <w:i w:val="0"/>
          <w:iCs w:val="0"/>
          <w:sz w:val="24"/>
          <w:szCs w:val="32"/>
          <w:u w:val="none"/>
          <w:lang w:val="en-US" w:eastAsia="zh-CN"/>
        </w:rPr>
        <w:t>……</w:t>
      </w:r>
    </w:p>
    <w:p>
      <w:pPr>
        <w:numPr>
          <w:ilvl w:val="0"/>
          <w:numId w:val="0"/>
        </w:numPr>
        <w:rPr>
          <w:rFonts w:hint="eastAsia" w:ascii="Times New Roman" w:hAnsi="Times New Roman" w:eastAsia="宋体" w:cs="Times New Roman"/>
          <w:b/>
          <w:color w:val="auto"/>
          <w:sz w:val="28"/>
          <w:szCs w:val="21"/>
          <w:lang w:val="en-US" w:eastAsia="zh-CN"/>
        </w:rPr>
      </w:pPr>
      <w:r>
        <w:rPr>
          <w:rFonts w:hint="eastAsia" w:ascii="Times New Roman" w:hAnsi="Times New Roman" w:eastAsia="宋体" w:cs="Times New Roman"/>
          <w:b/>
          <w:color w:val="auto"/>
          <w:sz w:val="28"/>
          <w:szCs w:val="21"/>
          <w:lang w:val="en-US" w:eastAsia="zh-CN"/>
        </w:rPr>
        <w:t>4、履约验收方案</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仿宋" w:hAnsi="仿宋" w:eastAsia="仿宋" w:cs="仿宋"/>
          <w:i w:val="0"/>
          <w:iCs w:val="0"/>
          <w:sz w:val="21"/>
          <w:szCs w:val="24"/>
          <w:u w:val="none"/>
          <w:lang w:val="en-US" w:eastAsia="zh-CN"/>
        </w:rPr>
      </w:pPr>
      <w:r>
        <w:rPr>
          <w:rFonts w:hint="eastAsia" w:ascii="仿宋" w:hAnsi="仿宋" w:eastAsia="仿宋" w:cs="仿宋"/>
          <w:i w:val="0"/>
          <w:iCs w:val="0"/>
          <w:sz w:val="21"/>
          <w:szCs w:val="24"/>
          <w:u w:val="none"/>
          <w:lang w:val="en-US" w:eastAsia="zh-CN"/>
        </w:rPr>
        <w:t>分期实施的采购项目，应当结合分期考核的情况，明确分期验收要求。货物类项目可以根据需要设置出厂检验、到货检验、安装调试检验、配套服务检验等多重验收环节。工程类项目的验收方案应当符合行业管理部门规定的标准、方法和内容。履约验收方案应当在合同中约定。</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仿宋" w:hAnsi="仿宋" w:eastAsia="仿宋" w:cs="仿宋"/>
          <w:i w:val="0"/>
          <w:iCs w:val="0"/>
          <w:sz w:val="21"/>
          <w:szCs w:val="24"/>
          <w:u w:val="none"/>
          <w:lang w:val="en-US" w:eastAsia="zh-CN"/>
        </w:rPr>
      </w:pPr>
      <w:r>
        <w:rPr>
          <w:rFonts w:hint="eastAsia" w:ascii="仿宋" w:hAnsi="仿宋" w:eastAsia="仿宋" w:cs="仿宋"/>
          <w:i w:val="0"/>
          <w:iCs w:val="0"/>
          <w:sz w:val="21"/>
          <w:szCs w:val="24"/>
          <w:u w:val="none"/>
          <w:lang w:val="en-US" w:eastAsia="zh-CN"/>
        </w:rPr>
        <w:t>采购人、采购代理机构可以邀请参加本项目的其他供应商或者第三方专业机构及专家参与验收，相关验收意见作为验收的参考资料。政府向社会公众提供的公共服务项目，验收时应当邀请服务对象参与并出具意见，验收结果应当向社会公告。</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b/>
          <w:bCs/>
          <w:i w:val="0"/>
          <w:iCs w:val="0"/>
          <w:sz w:val="24"/>
          <w:szCs w:val="32"/>
          <w:u w:val="none"/>
          <w:lang w:val="en-US" w:eastAsia="zh-CN"/>
        </w:rPr>
      </w:pPr>
      <w:r>
        <w:rPr>
          <w:rFonts w:hint="eastAsia" w:ascii="仿宋" w:hAnsi="仿宋" w:eastAsia="仿宋" w:cs="仿宋"/>
          <w:i w:val="0"/>
          <w:iCs w:val="0"/>
          <w:sz w:val="21"/>
          <w:szCs w:val="24"/>
          <w:u w:val="none"/>
          <w:lang w:val="en-US" w:eastAsia="zh-CN"/>
        </w:rPr>
        <w:t>验收内容要包括每一项技术和商务要求的履约情况，验收标准要包括所有客观、量化指标。不能明确客观标准、涉及主观判断的，可以通过在采购人、使用人中开展问卷调查等方式，转化为客观、量化的验收标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bCs/>
          <w:i w:val="0"/>
          <w:iCs w:val="0"/>
          <w:sz w:val="24"/>
          <w:szCs w:val="32"/>
          <w:u w:val="none"/>
          <w:lang w:val="en-US" w:eastAsia="zh-CN"/>
        </w:rPr>
      </w:pPr>
      <w:r>
        <w:rPr>
          <w:rFonts w:hint="eastAsia"/>
          <w:b/>
          <w:bCs/>
          <w:i w:val="0"/>
          <w:iCs w:val="0"/>
          <w:sz w:val="24"/>
          <w:szCs w:val="32"/>
          <w:u w:val="none"/>
          <w:lang w:val="en-US" w:eastAsia="zh-CN"/>
        </w:rPr>
        <w:t>第1包：</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val="0"/>
          <w:bCs w:val="0"/>
          <w:i w:val="0"/>
          <w:iCs w:val="0"/>
          <w:sz w:val="24"/>
          <w:szCs w:val="32"/>
          <w:u w:val="none"/>
          <w:lang w:val="en-US" w:eastAsia="zh-CN"/>
        </w:rPr>
      </w:pPr>
      <w:r>
        <w:rPr>
          <w:rFonts w:hint="eastAsia"/>
          <w:b w:val="0"/>
          <w:bCs w:val="0"/>
          <w:i w:val="0"/>
          <w:iCs w:val="0"/>
          <w:sz w:val="24"/>
          <w:szCs w:val="32"/>
          <w:u w:val="none"/>
          <w:lang w:val="en-US" w:eastAsia="zh-CN"/>
        </w:rPr>
        <w:t>（1）履约验收主体</w:t>
      </w:r>
      <w:r>
        <w:rPr>
          <w:rFonts w:hint="eastAsia"/>
          <w:b w:val="0"/>
          <w:bCs w:val="0"/>
          <w:i/>
          <w:iCs/>
          <w:color w:val="FF0000"/>
          <w:sz w:val="24"/>
          <w:szCs w:val="32"/>
          <w:u w:val="none"/>
          <w:lang w:val="en-US" w:eastAsia="zh-CN"/>
        </w:rPr>
        <w:t>（以下内容请根据项目需要进行选择填写）</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采购人：</w:t>
      </w:r>
      <w:r>
        <w:rPr>
          <w:rFonts w:hint="eastAsia"/>
          <w:i/>
          <w:iCs/>
          <w:color w:val="FF0000"/>
          <w:sz w:val="24"/>
          <w:szCs w:val="32"/>
          <w:u w:val="single"/>
          <w:lang w:val="en-US" w:eastAsia="zh-CN"/>
        </w:rPr>
        <w:t xml:space="preserve">项目单位1人 </w:t>
      </w:r>
      <w:r>
        <w:rPr>
          <w:rFonts w:hint="eastAsia"/>
          <w:i w:val="0"/>
          <w:iCs w:val="0"/>
          <w:sz w:val="24"/>
          <w:szCs w:val="32"/>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采购代理机构：</w:t>
      </w:r>
      <w:r>
        <w:rPr>
          <w:rFonts w:hint="eastAsia"/>
          <w:i w:val="0"/>
          <w:iCs w:val="0"/>
          <w:sz w:val="24"/>
          <w:szCs w:val="32"/>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本项目的其他供应商：</w:t>
      </w:r>
      <w:r>
        <w:rPr>
          <w:rFonts w:hint="eastAsia"/>
          <w:i w:val="0"/>
          <w:iCs w:val="0"/>
          <w:sz w:val="24"/>
          <w:szCs w:val="32"/>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第三方专业机构：</w:t>
      </w:r>
      <w:r>
        <w:rPr>
          <w:rFonts w:hint="eastAsia"/>
          <w:i w:val="0"/>
          <w:iCs w:val="0"/>
          <w:sz w:val="24"/>
          <w:szCs w:val="32"/>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专家：</w:t>
      </w:r>
      <w:r>
        <w:rPr>
          <w:rFonts w:hint="eastAsia"/>
          <w:i w:val="0"/>
          <w:iCs w:val="0"/>
          <w:sz w:val="24"/>
          <w:szCs w:val="32"/>
          <w:u w:val="single"/>
          <w:lang w:val="en-US" w:eastAsia="zh-CN"/>
        </w:rPr>
        <w:t xml:space="preserve">  </w:t>
      </w:r>
      <w:r>
        <w:rPr>
          <w:rFonts w:hint="eastAsia"/>
          <w:i/>
          <w:iCs/>
          <w:color w:val="FF0000"/>
          <w:sz w:val="24"/>
          <w:szCs w:val="32"/>
          <w:u w:val="single"/>
          <w:lang w:val="en-US" w:eastAsia="zh-CN"/>
        </w:rPr>
        <w:t>校内外专家</w:t>
      </w:r>
      <w:r>
        <w:rPr>
          <w:rFonts w:hint="eastAsia"/>
          <w:i w:val="0"/>
          <w:iCs w:val="0"/>
          <w:sz w:val="24"/>
          <w:szCs w:val="32"/>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i w:val="0"/>
          <w:iCs w:val="0"/>
          <w:sz w:val="24"/>
          <w:szCs w:val="32"/>
          <w:u w:val="singl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服务对象：</w:t>
      </w:r>
      <w:r>
        <w:rPr>
          <w:rFonts w:hint="eastAsia"/>
          <w:i w:val="0"/>
          <w:iCs w:val="0"/>
          <w:sz w:val="24"/>
          <w:szCs w:val="32"/>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val="0"/>
          <w:bCs w:val="0"/>
          <w:i w:val="0"/>
          <w:iCs w:val="0"/>
          <w:sz w:val="24"/>
          <w:szCs w:val="32"/>
          <w:u w:val="none"/>
          <w:lang w:val="en-US" w:eastAsia="zh-CN"/>
        </w:rPr>
      </w:pPr>
      <w:r>
        <w:rPr>
          <w:rFonts w:hint="eastAsia"/>
          <w:i w:val="0"/>
          <w:iCs w:val="0"/>
          <w:sz w:val="24"/>
          <w:szCs w:val="32"/>
          <w:u w:val="none"/>
          <w:lang w:val="en-US" w:eastAsia="zh-CN"/>
        </w:rPr>
        <w:sym w:font="Wingdings" w:char="00A8"/>
      </w:r>
      <w:r>
        <w:rPr>
          <w:rFonts w:hint="eastAsia"/>
          <w:i w:val="0"/>
          <w:iCs w:val="0"/>
          <w:sz w:val="24"/>
          <w:szCs w:val="32"/>
          <w:u w:val="none"/>
          <w:lang w:val="en-US" w:eastAsia="zh-CN"/>
        </w:rPr>
        <w:t>其他：</w:t>
      </w:r>
      <w:r>
        <w:rPr>
          <w:rFonts w:hint="eastAsia"/>
          <w:i w:val="0"/>
          <w:iCs w:val="0"/>
          <w:sz w:val="24"/>
          <w:szCs w:val="32"/>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val="0"/>
          <w:bCs w:val="0"/>
          <w:i w:val="0"/>
          <w:iCs w:val="0"/>
          <w:sz w:val="24"/>
          <w:szCs w:val="32"/>
          <w:u w:val="single"/>
          <w:lang w:val="en-US" w:eastAsia="zh-CN"/>
        </w:rPr>
      </w:pPr>
      <w:r>
        <w:rPr>
          <w:rFonts w:hint="eastAsia"/>
          <w:b w:val="0"/>
          <w:bCs w:val="0"/>
          <w:i w:val="0"/>
          <w:iCs w:val="0"/>
          <w:sz w:val="24"/>
          <w:szCs w:val="32"/>
          <w:u w:val="none"/>
          <w:lang w:val="en-US" w:eastAsia="zh-CN"/>
        </w:rPr>
        <w:t>（2）履约验收时间：</w:t>
      </w:r>
      <w:r>
        <w:rPr>
          <w:rFonts w:hint="eastAsia"/>
          <w:i/>
          <w:iCs/>
          <w:color w:val="FF0000"/>
          <w:sz w:val="24"/>
          <w:szCs w:val="32"/>
          <w:u w:val="single"/>
          <w:lang w:val="en-US" w:eastAsia="zh-CN"/>
        </w:rPr>
        <w:t xml:space="preserve">项目单位提交验收申请，业务管理部门3-5个工作日内组织履约验收，项目单位配合。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val="0"/>
          <w:bCs w:val="0"/>
          <w:i w:val="0"/>
          <w:iCs w:val="0"/>
          <w:sz w:val="24"/>
          <w:szCs w:val="32"/>
          <w:u w:val="single"/>
          <w:lang w:val="en-US" w:eastAsia="zh-CN"/>
        </w:rPr>
      </w:pPr>
      <w:r>
        <w:rPr>
          <w:rFonts w:hint="eastAsia"/>
          <w:b w:val="0"/>
          <w:bCs w:val="0"/>
          <w:i w:val="0"/>
          <w:iCs w:val="0"/>
          <w:sz w:val="24"/>
          <w:szCs w:val="32"/>
          <w:u w:val="none"/>
          <w:lang w:val="en-US" w:eastAsia="zh-CN"/>
        </w:rPr>
        <w:t>（3）履约验收方式：</w:t>
      </w:r>
      <w:r>
        <w:rPr>
          <w:rFonts w:hint="eastAsia"/>
          <w:b w:val="0"/>
          <w:bCs w:val="0"/>
          <w:i/>
          <w:iCs/>
          <w:color w:val="FF0000"/>
          <w:sz w:val="24"/>
          <w:szCs w:val="32"/>
          <w:u w:val="single"/>
          <w:lang w:val="en-US" w:eastAsia="zh-CN"/>
        </w:rPr>
        <w:t xml:space="preserve">现场验收或者会议验收           </w:t>
      </w:r>
      <w:r>
        <w:rPr>
          <w:rFonts w:hint="eastAsia"/>
          <w:b w:val="0"/>
          <w:bCs w:val="0"/>
          <w:i w:val="0"/>
          <w:iCs w:val="0"/>
          <w:sz w:val="24"/>
          <w:szCs w:val="32"/>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val="0"/>
          <w:bCs w:val="0"/>
          <w:i/>
          <w:iCs/>
          <w:color w:val="FF0000"/>
          <w:sz w:val="24"/>
          <w:szCs w:val="32"/>
          <w:u w:val="single"/>
          <w:lang w:val="en-US" w:eastAsia="zh-CN"/>
        </w:rPr>
      </w:pPr>
      <w:r>
        <w:rPr>
          <w:rFonts w:hint="eastAsia"/>
          <w:b w:val="0"/>
          <w:bCs w:val="0"/>
          <w:i w:val="0"/>
          <w:iCs w:val="0"/>
          <w:sz w:val="24"/>
          <w:szCs w:val="32"/>
          <w:u w:val="none"/>
          <w:lang w:val="en-US" w:eastAsia="zh-CN"/>
        </w:rPr>
        <w:t>（4）履约验收程序：</w:t>
      </w:r>
      <w:r>
        <w:rPr>
          <w:rFonts w:hint="eastAsia"/>
          <w:b w:val="0"/>
          <w:bCs w:val="0"/>
          <w:i/>
          <w:iCs/>
          <w:color w:val="FF0000"/>
          <w:sz w:val="24"/>
          <w:szCs w:val="32"/>
          <w:u w:val="single"/>
          <w:lang w:val="en-US" w:eastAsia="zh-CN"/>
        </w:rPr>
        <w:t xml:space="preserve">业务管理部门组织，项目单位配合，成立不少于3人验收小组，召开验收小组会议，明确验收相关标准；验收小组对照验收标准逐条验收，清点货物数量，检验设备质量和安装运转情况，出具验收报告。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val="0"/>
          <w:bCs w:val="0"/>
          <w:i w:val="0"/>
          <w:iCs w:val="0"/>
          <w:sz w:val="24"/>
          <w:szCs w:val="32"/>
          <w:u w:val="single"/>
          <w:lang w:val="en-US" w:eastAsia="zh-CN"/>
        </w:rPr>
      </w:pPr>
      <w:r>
        <w:rPr>
          <w:rFonts w:hint="eastAsia"/>
          <w:b w:val="0"/>
          <w:bCs w:val="0"/>
          <w:i w:val="0"/>
          <w:iCs w:val="0"/>
          <w:sz w:val="24"/>
          <w:szCs w:val="32"/>
          <w:u w:val="none"/>
          <w:lang w:val="en-US" w:eastAsia="zh-CN"/>
        </w:rPr>
        <w:t>（5）履约验收内容：</w:t>
      </w:r>
      <w:r>
        <w:rPr>
          <w:rFonts w:hint="eastAsia"/>
          <w:b w:val="0"/>
          <w:bCs w:val="0"/>
          <w:i/>
          <w:iCs/>
          <w:color w:val="FF0000"/>
          <w:sz w:val="24"/>
          <w:szCs w:val="32"/>
          <w:u w:val="single"/>
          <w:lang w:val="en-US" w:eastAsia="zh-CN"/>
        </w:rPr>
        <w:t>采购文件中每一项技术和商务要求的履约情况。</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val="0"/>
          <w:bCs w:val="0"/>
          <w:i/>
          <w:iCs/>
          <w:color w:val="FF0000"/>
          <w:sz w:val="24"/>
          <w:szCs w:val="32"/>
          <w:u w:val="single"/>
          <w:lang w:val="en-US" w:eastAsia="zh-CN"/>
        </w:rPr>
      </w:pPr>
      <w:r>
        <w:rPr>
          <w:rFonts w:hint="eastAsia"/>
          <w:b w:val="0"/>
          <w:bCs w:val="0"/>
          <w:i w:val="0"/>
          <w:iCs w:val="0"/>
          <w:sz w:val="24"/>
          <w:szCs w:val="32"/>
          <w:u w:val="none"/>
          <w:lang w:val="en-US" w:eastAsia="zh-CN"/>
        </w:rPr>
        <w:t>（6）履约验收标准：</w:t>
      </w:r>
      <w:r>
        <w:rPr>
          <w:rFonts w:hint="eastAsia"/>
          <w:b w:val="0"/>
          <w:bCs w:val="0"/>
          <w:i/>
          <w:iCs/>
          <w:color w:val="FF0000"/>
          <w:sz w:val="24"/>
          <w:szCs w:val="32"/>
          <w:u w:val="single"/>
          <w:lang w:val="en-US" w:eastAsia="zh-CN"/>
        </w:rPr>
        <w:t>合</w:t>
      </w:r>
      <w:bookmarkStart w:id="0" w:name="_GoBack"/>
      <w:bookmarkEnd w:id="0"/>
      <w:r>
        <w:rPr>
          <w:rFonts w:hint="eastAsia"/>
          <w:b w:val="0"/>
          <w:bCs w:val="0"/>
          <w:i/>
          <w:iCs/>
          <w:color w:val="FF0000"/>
          <w:sz w:val="24"/>
          <w:szCs w:val="32"/>
          <w:u w:val="single"/>
          <w:lang w:val="en-US" w:eastAsia="zh-CN"/>
        </w:rPr>
        <w:t>同约定标准。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val="0"/>
          <w:bCs w:val="0"/>
          <w:i/>
          <w:iCs/>
          <w:color w:val="FF0000"/>
          <w:sz w:val="24"/>
          <w:szCs w:val="32"/>
          <w:u w:val="single"/>
          <w:lang w:val="en-US" w:eastAsia="zh-CN"/>
        </w:rPr>
      </w:pPr>
      <w:r>
        <w:rPr>
          <w:rFonts w:hint="eastAsia"/>
          <w:b w:val="0"/>
          <w:bCs w:val="0"/>
          <w:i w:val="0"/>
          <w:iCs w:val="0"/>
          <w:sz w:val="24"/>
          <w:szCs w:val="32"/>
          <w:u w:val="none"/>
          <w:lang w:val="en-US" w:eastAsia="zh-CN"/>
        </w:rPr>
        <w:t>（7）履约验收其他事项：</w:t>
      </w:r>
      <w:r>
        <w:rPr>
          <w:rFonts w:hint="eastAsia"/>
          <w:b w:val="0"/>
          <w:bCs w:val="0"/>
          <w:i/>
          <w:iCs/>
          <w:color w:val="FF0000"/>
          <w:sz w:val="24"/>
          <w:szCs w:val="32"/>
          <w:u w:val="single"/>
          <w:lang w:val="en-US" w:eastAsia="zh-CN"/>
        </w:rPr>
        <w:t>采购需求论证人员、业主评委不得作为验收小组成员参加验收。</w:t>
      </w:r>
    </w:p>
    <w:p>
      <w:pPr>
        <w:numPr>
          <w:ilvl w:val="0"/>
          <w:numId w:val="0"/>
        </w:numPr>
        <w:rPr>
          <w:rFonts w:hint="default"/>
          <w:b w:val="0"/>
          <w:bCs w:val="0"/>
          <w:i/>
          <w:iCs/>
          <w:sz w:val="24"/>
          <w:szCs w:val="32"/>
          <w:u w:val="single"/>
          <w:lang w:val="en-US" w:eastAsia="zh-CN"/>
        </w:rPr>
      </w:pPr>
    </w:p>
    <w:p>
      <w:pPr>
        <w:numPr>
          <w:ilvl w:val="0"/>
          <w:numId w:val="0"/>
        </w:numPr>
        <w:rPr>
          <w:rFonts w:hint="eastAsia"/>
          <w:b/>
          <w:bCs/>
          <w:i w:val="0"/>
          <w:iCs w:val="0"/>
          <w:sz w:val="24"/>
          <w:szCs w:val="32"/>
          <w:u w:val="none"/>
          <w:lang w:val="en-US" w:eastAsia="zh-CN"/>
        </w:rPr>
      </w:pPr>
      <w:r>
        <w:rPr>
          <w:rFonts w:hint="eastAsia"/>
          <w:b/>
          <w:bCs/>
          <w:i w:val="0"/>
          <w:iCs w:val="0"/>
          <w:sz w:val="24"/>
          <w:szCs w:val="32"/>
          <w:u w:val="none"/>
          <w:lang w:val="en-US" w:eastAsia="zh-CN"/>
        </w:rPr>
        <w:t>第2包</w:t>
      </w:r>
    </w:p>
    <w:p>
      <w:pPr>
        <w:numPr>
          <w:ilvl w:val="0"/>
          <w:numId w:val="0"/>
        </w:numPr>
        <w:rPr>
          <w:rFonts w:hint="eastAsia"/>
          <w:b/>
          <w:bCs/>
          <w:i/>
          <w:iCs/>
          <w:sz w:val="24"/>
          <w:szCs w:val="32"/>
          <w:u w:val="none"/>
          <w:lang w:val="en-US" w:eastAsia="zh-CN"/>
        </w:rPr>
      </w:pPr>
      <w:r>
        <w:rPr>
          <w:rFonts w:hint="eastAsia"/>
          <w:b/>
          <w:bCs/>
          <w:i/>
          <w:iCs/>
          <w:sz w:val="24"/>
          <w:szCs w:val="32"/>
          <w:u w:val="none"/>
          <w:lang w:val="en-US" w:eastAsia="zh-CN"/>
        </w:rPr>
        <w:t>……</w:t>
      </w:r>
    </w:p>
    <w:p>
      <w:pPr>
        <w:numPr>
          <w:ilvl w:val="0"/>
          <w:numId w:val="0"/>
        </w:numPr>
        <w:rPr>
          <w:rFonts w:hint="default"/>
          <w:b/>
          <w:bCs/>
          <w:sz w:val="28"/>
          <w:szCs w:val="28"/>
          <w:u w:val="none"/>
          <w:lang w:val="en-US" w:eastAsia="zh-CN"/>
        </w:rPr>
      </w:pPr>
      <w:r>
        <w:rPr>
          <w:rFonts w:hint="eastAsia"/>
          <w:b/>
          <w:bCs/>
          <w:sz w:val="28"/>
          <w:szCs w:val="28"/>
          <w:u w:val="none"/>
          <w:lang w:val="en-US" w:eastAsia="zh-CN"/>
        </w:rPr>
        <w:t>5、风险管控措施</w:t>
      </w:r>
    </w:p>
    <w:p>
      <w:pPr>
        <w:numPr>
          <w:ilvl w:val="0"/>
          <w:numId w:val="0"/>
        </w:numPr>
        <w:ind w:firstLine="420" w:firstLineChars="200"/>
        <w:rPr>
          <w:rFonts w:hint="default" w:ascii="仿宋" w:hAnsi="仿宋" w:eastAsia="仿宋" w:cs="仿宋"/>
          <w:b w:val="0"/>
          <w:bCs w:val="0"/>
          <w:i w:val="0"/>
          <w:iCs w:val="0"/>
          <w:sz w:val="21"/>
          <w:szCs w:val="21"/>
          <w:u w:val="none"/>
          <w:lang w:val="en-US" w:eastAsia="zh-CN"/>
        </w:rPr>
      </w:pPr>
      <w:r>
        <w:rPr>
          <w:rFonts w:hint="eastAsia" w:ascii="仿宋" w:hAnsi="仿宋" w:eastAsia="仿宋" w:cs="仿宋"/>
          <w:b w:val="0"/>
          <w:bCs w:val="0"/>
          <w:i w:val="0"/>
          <w:iCs w:val="0"/>
          <w:sz w:val="21"/>
          <w:szCs w:val="21"/>
          <w:u w:val="none"/>
          <w:lang w:val="en-US" w:eastAsia="zh-CN"/>
        </w:rPr>
        <w:t>对于《财政部关于印发政府采购需求管理办法的通知》第十一条规定的采购项目，要研究采购过程和合同履行过程中的风险，判断风险发生的环节、可能性、影响程度和管控责任，提出有针对性的处置措施和替代方案。由项目单位根据项目特点选择填写。</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bCs/>
          <w:i w:val="0"/>
          <w:iCs w:val="0"/>
          <w:sz w:val="24"/>
          <w:szCs w:val="32"/>
          <w:u w:val="none"/>
          <w:lang w:val="en-US" w:eastAsia="zh-CN"/>
        </w:rPr>
      </w:pPr>
      <w:r>
        <w:rPr>
          <w:rFonts w:hint="eastAsia"/>
          <w:b/>
          <w:bCs/>
          <w:i w:val="0"/>
          <w:iCs w:val="0"/>
          <w:sz w:val="24"/>
          <w:szCs w:val="32"/>
          <w:u w:val="none"/>
          <w:lang w:val="en-US" w:eastAsia="zh-CN"/>
        </w:rPr>
        <w:t>第1包：</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b w:val="0"/>
          <w:bCs w:val="0"/>
          <w:i/>
          <w:iCs/>
          <w:color w:val="FF0000"/>
          <w:sz w:val="24"/>
          <w:szCs w:val="32"/>
          <w:u w:val="single"/>
          <w:lang w:val="en-US" w:eastAsia="zh-CN"/>
        </w:rPr>
      </w:pPr>
      <w:r>
        <w:rPr>
          <w:rFonts w:hint="eastAsia"/>
          <w:b w:val="0"/>
          <w:bCs w:val="0"/>
          <w:i w:val="0"/>
          <w:iCs w:val="0"/>
          <w:sz w:val="24"/>
          <w:szCs w:val="32"/>
          <w:u w:val="none"/>
          <w:lang w:val="en-US" w:eastAsia="zh-CN"/>
        </w:rPr>
        <w:t>（1）国家政策变化应对措施：</w:t>
      </w:r>
      <w:r>
        <w:rPr>
          <w:rFonts w:hint="eastAsia"/>
          <w:b w:val="0"/>
          <w:bCs w:val="0"/>
          <w:i/>
          <w:iCs/>
          <w:color w:val="FF0000"/>
          <w:sz w:val="24"/>
          <w:szCs w:val="32"/>
          <w:u w:val="single"/>
          <w:lang w:val="en-US" w:eastAsia="zh-CN"/>
        </w:rPr>
        <w:t>按照不可抗力事件及时处理。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val="0"/>
          <w:bCs w:val="0"/>
          <w:i w:val="0"/>
          <w:iCs w:val="0"/>
          <w:sz w:val="24"/>
          <w:szCs w:val="32"/>
          <w:u w:val="single"/>
          <w:lang w:val="en-US" w:eastAsia="zh-CN"/>
        </w:rPr>
      </w:pPr>
      <w:r>
        <w:rPr>
          <w:rFonts w:hint="eastAsia"/>
          <w:b w:val="0"/>
          <w:bCs w:val="0"/>
          <w:i w:val="0"/>
          <w:iCs w:val="0"/>
          <w:sz w:val="24"/>
          <w:szCs w:val="32"/>
          <w:u w:val="none"/>
          <w:lang w:val="en-US" w:eastAsia="zh-CN"/>
        </w:rPr>
        <w:t>（2）实施环境变化应对措施：</w:t>
      </w:r>
      <w:r>
        <w:rPr>
          <w:rFonts w:hint="eastAsia"/>
          <w:b w:val="0"/>
          <w:bCs w:val="0"/>
          <w:i/>
          <w:iCs/>
          <w:color w:val="FF0000"/>
          <w:sz w:val="24"/>
          <w:szCs w:val="32"/>
          <w:u w:val="single"/>
          <w:lang w:val="en-US" w:eastAsia="zh-CN"/>
        </w:rPr>
        <w:t>如不具备履行合同的条件，按照不可抗力事件及时处理。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val="0"/>
          <w:bCs w:val="0"/>
          <w:i w:val="0"/>
          <w:iCs w:val="0"/>
          <w:sz w:val="24"/>
          <w:szCs w:val="32"/>
          <w:u w:val="single"/>
          <w:lang w:val="en-US" w:eastAsia="zh-CN"/>
        </w:rPr>
      </w:pPr>
      <w:r>
        <w:rPr>
          <w:rFonts w:hint="eastAsia"/>
          <w:b w:val="0"/>
          <w:bCs w:val="0"/>
          <w:i w:val="0"/>
          <w:iCs w:val="0"/>
          <w:sz w:val="24"/>
          <w:szCs w:val="32"/>
          <w:u w:val="none"/>
          <w:lang w:val="en-US" w:eastAsia="zh-CN"/>
        </w:rPr>
        <w:t>（3）重大技术变化应对措施：</w:t>
      </w:r>
      <w:r>
        <w:rPr>
          <w:rFonts w:hint="eastAsia"/>
          <w:b w:val="0"/>
          <w:bCs w:val="0"/>
          <w:i/>
          <w:iCs/>
          <w:color w:val="FF0000"/>
          <w:sz w:val="24"/>
          <w:szCs w:val="32"/>
          <w:u w:val="single"/>
          <w:lang w:val="en-US" w:eastAsia="zh-CN"/>
        </w:rPr>
        <w:t>调整采购需求，或者终止协议。</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val="0"/>
          <w:bCs w:val="0"/>
          <w:i/>
          <w:iCs/>
          <w:color w:val="FF0000"/>
          <w:sz w:val="24"/>
          <w:szCs w:val="32"/>
          <w:u w:val="single"/>
          <w:lang w:val="en-US" w:eastAsia="zh-CN"/>
        </w:rPr>
      </w:pPr>
      <w:r>
        <w:rPr>
          <w:rFonts w:hint="eastAsia"/>
          <w:b w:val="0"/>
          <w:bCs w:val="0"/>
          <w:i w:val="0"/>
          <w:iCs w:val="0"/>
          <w:sz w:val="24"/>
          <w:szCs w:val="32"/>
          <w:u w:val="none"/>
          <w:lang w:val="en-US" w:eastAsia="zh-CN"/>
        </w:rPr>
        <w:t>（4）预算项目调整应对措施：</w:t>
      </w:r>
      <w:r>
        <w:rPr>
          <w:rFonts w:hint="eastAsia"/>
          <w:b w:val="0"/>
          <w:bCs w:val="0"/>
          <w:i/>
          <w:iCs/>
          <w:color w:val="FF0000"/>
          <w:sz w:val="24"/>
          <w:szCs w:val="32"/>
          <w:u w:val="single"/>
          <w:lang w:val="en-US" w:eastAsia="zh-CN"/>
        </w:rPr>
        <w:t>调整采购需求，及时终止采购项目，重新发布采购公告。或在不违反相关规定的情况下，签订补充协议。</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val="0"/>
          <w:bCs w:val="0"/>
          <w:i/>
          <w:iCs/>
          <w:color w:val="FF0000"/>
          <w:sz w:val="24"/>
          <w:szCs w:val="32"/>
          <w:u w:val="single"/>
          <w:lang w:val="en-US" w:eastAsia="zh-CN"/>
        </w:rPr>
      </w:pPr>
      <w:r>
        <w:rPr>
          <w:rFonts w:hint="eastAsia"/>
          <w:b w:val="0"/>
          <w:bCs w:val="0"/>
          <w:i w:val="0"/>
          <w:iCs w:val="0"/>
          <w:sz w:val="24"/>
          <w:szCs w:val="32"/>
          <w:u w:val="none"/>
          <w:lang w:val="en-US" w:eastAsia="zh-CN"/>
        </w:rPr>
        <w:t>（5）因质疑投诉影响采购进度应对措施：</w:t>
      </w:r>
      <w:r>
        <w:rPr>
          <w:rFonts w:hint="eastAsia"/>
          <w:b w:val="0"/>
          <w:bCs w:val="0"/>
          <w:i/>
          <w:iCs/>
          <w:color w:val="FF0000"/>
          <w:sz w:val="24"/>
          <w:szCs w:val="32"/>
          <w:u w:val="single"/>
          <w:lang w:val="en-US" w:eastAsia="zh-CN"/>
        </w:rPr>
        <w:t xml:space="preserve">及时处理质疑投诉，做好项目前期调查，提高采购需求的合理性。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val="0"/>
          <w:bCs w:val="0"/>
          <w:i/>
          <w:iCs/>
          <w:color w:val="FF0000"/>
          <w:sz w:val="24"/>
          <w:szCs w:val="32"/>
          <w:u w:val="single"/>
          <w:lang w:val="en-US" w:eastAsia="zh-CN"/>
        </w:rPr>
      </w:pPr>
      <w:r>
        <w:rPr>
          <w:rFonts w:hint="eastAsia"/>
          <w:b w:val="0"/>
          <w:bCs w:val="0"/>
          <w:i w:val="0"/>
          <w:iCs w:val="0"/>
          <w:sz w:val="24"/>
          <w:szCs w:val="32"/>
          <w:u w:val="none"/>
          <w:lang w:val="en-US" w:eastAsia="zh-CN"/>
        </w:rPr>
        <w:t>（6）采购失败应对措施：</w:t>
      </w:r>
      <w:r>
        <w:rPr>
          <w:rFonts w:hint="eastAsia"/>
          <w:b w:val="0"/>
          <w:bCs w:val="0"/>
          <w:i/>
          <w:iCs/>
          <w:color w:val="FF0000"/>
          <w:sz w:val="24"/>
          <w:szCs w:val="32"/>
          <w:u w:val="single"/>
          <w:lang w:val="en-US" w:eastAsia="zh-CN"/>
        </w:rPr>
        <w:t>重新采购，或在不违反相关规定的情况下，改变采购方式。</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val="0"/>
          <w:bCs w:val="0"/>
          <w:i w:val="0"/>
          <w:iCs w:val="0"/>
          <w:sz w:val="24"/>
          <w:szCs w:val="32"/>
          <w:u w:val="single"/>
          <w:lang w:val="en-US" w:eastAsia="zh-CN"/>
        </w:rPr>
      </w:pPr>
      <w:r>
        <w:rPr>
          <w:rFonts w:hint="eastAsia"/>
          <w:b w:val="0"/>
          <w:bCs w:val="0"/>
          <w:i w:val="0"/>
          <w:iCs w:val="0"/>
          <w:sz w:val="24"/>
          <w:szCs w:val="32"/>
          <w:u w:val="none"/>
          <w:lang w:val="en-US" w:eastAsia="zh-CN"/>
        </w:rPr>
        <w:t>（7）不按规定签订或者履行合同应对措施：</w:t>
      </w:r>
      <w:r>
        <w:rPr>
          <w:rFonts w:hint="eastAsia"/>
          <w:b w:val="0"/>
          <w:bCs w:val="0"/>
          <w:i/>
          <w:iCs/>
          <w:color w:val="FF0000"/>
          <w:sz w:val="24"/>
          <w:szCs w:val="32"/>
          <w:u w:val="single"/>
          <w:lang w:val="en-US" w:eastAsia="zh-CN"/>
        </w:rPr>
        <w:t>按照相关规定和合同约定进行处理。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b w:val="0"/>
          <w:bCs w:val="0"/>
          <w:i w:val="0"/>
          <w:iCs w:val="0"/>
          <w:sz w:val="24"/>
          <w:szCs w:val="32"/>
          <w:u w:val="single"/>
          <w:lang w:val="en-US" w:eastAsia="zh-CN"/>
        </w:rPr>
      </w:pPr>
      <w:r>
        <w:rPr>
          <w:rFonts w:hint="eastAsia"/>
          <w:b w:val="0"/>
          <w:bCs w:val="0"/>
          <w:i w:val="0"/>
          <w:iCs w:val="0"/>
          <w:sz w:val="24"/>
          <w:szCs w:val="32"/>
          <w:u w:val="none"/>
          <w:lang w:val="en-US" w:eastAsia="zh-CN"/>
        </w:rPr>
        <w:t>（8）出现损害国家利益和社会公共利益情形应对措施：</w:t>
      </w:r>
      <w:r>
        <w:rPr>
          <w:rFonts w:hint="eastAsia"/>
          <w:b w:val="0"/>
          <w:bCs w:val="0"/>
          <w:i/>
          <w:iCs/>
          <w:color w:val="FF0000"/>
          <w:sz w:val="24"/>
          <w:szCs w:val="32"/>
          <w:u w:val="single"/>
          <w:lang w:val="en-US" w:eastAsia="zh-CN"/>
        </w:rPr>
        <w:t>终止采购或者终止合同。</w:t>
      </w:r>
    </w:p>
    <w:p>
      <w:pPr>
        <w:numPr>
          <w:ilvl w:val="0"/>
          <w:numId w:val="0"/>
        </w:numPr>
        <w:rPr>
          <w:rFonts w:hint="eastAsia"/>
          <w:b/>
          <w:bCs/>
          <w:i w:val="0"/>
          <w:iCs w:val="0"/>
          <w:sz w:val="24"/>
          <w:szCs w:val="32"/>
          <w:u w:val="none"/>
          <w:lang w:val="en-US" w:eastAsia="zh-CN"/>
        </w:rPr>
      </w:pPr>
      <w:r>
        <w:rPr>
          <w:rFonts w:hint="eastAsia"/>
          <w:b/>
          <w:bCs/>
          <w:i w:val="0"/>
          <w:iCs w:val="0"/>
          <w:sz w:val="24"/>
          <w:szCs w:val="32"/>
          <w:u w:val="none"/>
          <w:lang w:val="en-US" w:eastAsia="zh-CN"/>
        </w:rPr>
        <w:t>第2包</w:t>
      </w:r>
    </w:p>
    <w:p>
      <w:pPr>
        <w:numPr>
          <w:ilvl w:val="0"/>
          <w:numId w:val="0"/>
        </w:numPr>
        <w:rPr>
          <w:rFonts w:hint="eastAsia"/>
          <w:b/>
          <w:bCs/>
          <w:i/>
          <w:iCs/>
          <w:sz w:val="24"/>
          <w:szCs w:val="32"/>
          <w:u w:val="none"/>
          <w:lang w:val="en-US" w:eastAsia="zh-CN"/>
        </w:rPr>
      </w:pPr>
      <w:r>
        <w:rPr>
          <w:rFonts w:hint="eastAsia"/>
          <w:b/>
          <w:bCs/>
          <w:i/>
          <w:iCs/>
          <w:sz w:val="24"/>
          <w:szCs w:val="32"/>
          <w:u w:val="none"/>
          <w:lang w:val="en-US" w:eastAsia="zh-CN"/>
        </w:rPr>
        <w:t>……</w:t>
      </w:r>
    </w:p>
    <w:p>
      <w:pPr>
        <w:numPr>
          <w:ilvl w:val="0"/>
          <w:numId w:val="0"/>
        </w:numPr>
        <w:ind w:leftChars="0"/>
        <w:rPr>
          <w:rFonts w:hint="eastAsia" w:ascii="仿宋" w:hAnsi="仿宋" w:eastAsia="仿宋" w:cs="仿宋"/>
          <w:b w:val="0"/>
          <w:bCs/>
          <w:spacing w:val="2"/>
          <w:kern w:val="0"/>
          <w:sz w:val="28"/>
          <w:szCs w:val="28"/>
          <w:vertAlign w:val="baseline"/>
          <w:lang w:val="en-US" w:eastAsia="zh-CN"/>
        </w:rPr>
      </w:pPr>
      <w:r>
        <w:rPr>
          <w:rFonts w:hint="eastAsia" w:ascii="仿宋" w:hAnsi="仿宋" w:eastAsia="仿宋" w:cs="仿宋"/>
          <w:b w:val="0"/>
          <w:bCs/>
          <w:spacing w:val="2"/>
          <w:kern w:val="0"/>
          <w:sz w:val="28"/>
          <w:szCs w:val="28"/>
          <w:vertAlign w:val="baseline"/>
          <w:lang w:val="en-US" w:eastAsia="zh-CN"/>
        </w:rPr>
        <w:t>注：以上内容填写后删除斜体字提示部分内容。</w:t>
      </w:r>
    </w:p>
    <w:p>
      <w:pPr>
        <w:rPr>
          <w:rFonts w:hint="eastAsia" w:ascii="仿宋" w:hAnsi="仿宋" w:eastAsia="仿宋" w:cs="仿宋"/>
          <w:b w:val="0"/>
          <w:bCs/>
          <w:spacing w:val="2"/>
          <w:kern w:val="0"/>
          <w:sz w:val="28"/>
          <w:szCs w:val="28"/>
          <w:vertAlign w:val="baseline"/>
          <w:lang w:val="en-US" w:eastAsia="zh-CN"/>
        </w:rPr>
      </w:pPr>
    </w:p>
    <w:p>
      <w:pPr>
        <w:rPr>
          <w:rFonts w:hint="eastAsia" w:ascii="仿宋" w:hAnsi="仿宋" w:eastAsia="仿宋" w:cs="仿宋"/>
          <w:b w:val="0"/>
          <w:bCs/>
          <w:spacing w:val="2"/>
          <w:kern w:val="0"/>
          <w:sz w:val="28"/>
          <w:szCs w:val="28"/>
          <w:vertAlign w:val="baseline"/>
          <w:lang w:val="en-US" w:eastAsia="zh-CN"/>
        </w:rPr>
      </w:pPr>
    </w:p>
    <w:p>
      <w:pPr>
        <w:rPr>
          <w:rFonts w:hint="eastAsia" w:ascii="仿宋" w:hAnsi="仿宋" w:eastAsia="仿宋" w:cs="仿宋"/>
          <w:b w:val="0"/>
          <w:bCs/>
          <w:spacing w:val="2"/>
          <w:kern w:val="0"/>
          <w:sz w:val="28"/>
          <w:szCs w:val="28"/>
          <w:vertAlign w:val="baseline"/>
          <w:lang w:val="en-US" w:eastAsia="zh-CN"/>
        </w:rPr>
      </w:pPr>
    </w:p>
    <w:p>
      <w:pPr>
        <w:rPr>
          <w:rFonts w:hint="eastAsia" w:ascii="仿宋" w:hAnsi="仿宋" w:eastAsia="仿宋" w:cs="仿宋"/>
          <w:b w:val="0"/>
          <w:bCs/>
          <w:spacing w:val="2"/>
          <w:kern w:val="0"/>
          <w:sz w:val="28"/>
          <w:szCs w:val="28"/>
          <w:vertAlign w:val="baseline"/>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xMjkxYTE1OGU0Yzk1NDNiNjJiNjlkNDAwNzIxMmYifQ=="/>
  </w:docVars>
  <w:rsids>
    <w:rsidRoot w:val="5BBD244E"/>
    <w:rsid w:val="00116617"/>
    <w:rsid w:val="00163C9F"/>
    <w:rsid w:val="0018117D"/>
    <w:rsid w:val="001B50D3"/>
    <w:rsid w:val="001E3328"/>
    <w:rsid w:val="002476DC"/>
    <w:rsid w:val="005E77D6"/>
    <w:rsid w:val="00626E31"/>
    <w:rsid w:val="00632AE9"/>
    <w:rsid w:val="00802624"/>
    <w:rsid w:val="0091054E"/>
    <w:rsid w:val="009350EE"/>
    <w:rsid w:val="00A61A06"/>
    <w:rsid w:val="00AA45BB"/>
    <w:rsid w:val="00EB7461"/>
    <w:rsid w:val="01220A65"/>
    <w:rsid w:val="01222892"/>
    <w:rsid w:val="01262CCD"/>
    <w:rsid w:val="012F2E11"/>
    <w:rsid w:val="01490171"/>
    <w:rsid w:val="014E654C"/>
    <w:rsid w:val="015462C5"/>
    <w:rsid w:val="018F2EF0"/>
    <w:rsid w:val="01C07208"/>
    <w:rsid w:val="01CD16A0"/>
    <w:rsid w:val="01D3083B"/>
    <w:rsid w:val="01E8552D"/>
    <w:rsid w:val="01EF7076"/>
    <w:rsid w:val="01FF2F2F"/>
    <w:rsid w:val="0201322E"/>
    <w:rsid w:val="022037DF"/>
    <w:rsid w:val="022A4DCD"/>
    <w:rsid w:val="02361E5F"/>
    <w:rsid w:val="023F11ED"/>
    <w:rsid w:val="024A57E4"/>
    <w:rsid w:val="02503C58"/>
    <w:rsid w:val="026A63BB"/>
    <w:rsid w:val="026B2EF4"/>
    <w:rsid w:val="027A2562"/>
    <w:rsid w:val="027C45CF"/>
    <w:rsid w:val="02CB7372"/>
    <w:rsid w:val="02F451CB"/>
    <w:rsid w:val="02F61CE6"/>
    <w:rsid w:val="02FA6F9D"/>
    <w:rsid w:val="030266D7"/>
    <w:rsid w:val="030776AE"/>
    <w:rsid w:val="03217FFB"/>
    <w:rsid w:val="032E7F18"/>
    <w:rsid w:val="0332592D"/>
    <w:rsid w:val="034656C5"/>
    <w:rsid w:val="036C64FC"/>
    <w:rsid w:val="037973D8"/>
    <w:rsid w:val="0388461F"/>
    <w:rsid w:val="03903CF9"/>
    <w:rsid w:val="03BB2D75"/>
    <w:rsid w:val="03E32761"/>
    <w:rsid w:val="044412FA"/>
    <w:rsid w:val="04550883"/>
    <w:rsid w:val="047172B2"/>
    <w:rsid w:val="048E493C"/>
    <w:rsid w:val="04CF0657"/>
    <w:rsid w:val="051549AA"/>
    <w:rsid w:val="051A2414"/>
    <w:rsid w:val="05205C4D"/>
    <w:rsid w:val="0522360E"/>
    <w:rsid w:val="05333C96"/>
    <w:rsid w:val="05361A8B"/>
    <w:rsid w:val="05372F5D"/>
    <w:rsid w:val="05382FAF"/>
    <w:rsid w:val="053F5B37"/>
    <w:rsid w:val="05402DB4"/>
    <w:rsid w:val="05471E8A"/>
    <w:rsid w:val="05495EDC"/>
    <w:rsid w:val="056D29EE"/>
    <w:rsid w:val="05AF727F"/>
    <w:rsid w:val="05BC1B0C"/>
    <w:rsid w:val="05E87D88"/>
    <w:rsid w:val="06020143"/>
    <w:rsid w:val="06195126"/>
    <w:rsid w:val="0620527C"/>
    <w:rsid w:val="06677C76"/>
    <w:rsid w:val="0679718F"/>
    <w:rsid w:val="06807216"/>
    <w:rsid w:val="06BA6FD3"/>
    <w:rsid w:val="06DA722C"/>
    <w:rsid w:val="07091547"/>
    <w:rsid w:val="071A30D9"/>
    <w:rsid w:val="071E6A24"/>
    <w:rsid w:val="073E108C"/>
    <w:rsid w:val="073E2A21"/>
    <w:rsid w:val="07430C06"/>
    <w:rsid w:val="074752B6"/>
    <w:rsid w:val="075C0EEF"/>
    <w:rsid w:val="076E07C0"/>
    <w:rsid w:val="077F0E8A"/>
    <w:rsid w:val="078D18BA"/>
    <w:rsid w:val="07941FFC"/>
    <w:rsid w:val="07BA6ED5"/>
    <w:rsid w:val="07CD3FE6"/>
    <w:rsid w:val="07D04101"/>
    <w:rsid w:val="08043AB4"/>
    <w:rsid w:val="0842646C"/>
    <w:rsid w:val="0845024E"/>
    <w:rsid w:val="08485B31"/>
    <w:rsid w:val="084C6566"/>
    <w:rsid w:val="08597846"/>
    <w:rsid w:val="08873805"/>
    <w:rsid w:val="088840FF"/>
    <w:rsid w:val="08971FB8"/>
    <w:rsid w:val="08A74D2D"/>
    <w:rsid w:val="08AA0DE9"/>
    <w:rsid w:val="08E508DA"/>
    <w:rsid w:val="08FA56A4"/>
    <w:rsid w:val="092E2703"/>
    <w:rsid w:val="093A71F8"/>
    <w:rsid w:val="09721020"/>
    <w:rsid w:val="09803010"/>
    <w:rsid w:val="0988795C"/>
    <w:rsid w:val="09AD7024"/>
    <w:rsid w:val="09CC3AB6"/>
    <w:rsid w:val="09D5146F"/>
    <w:rsid w:val="09FC381F"/>
    <w:rsid w:val="09FE68B1"/>
    <w:rsid w:val="0A086979"/>
    <w:rsid w:val="0A321D27"/>
    <w:rsid w:val="0A952E9F"/>
    <w:rsid w:val="0AB94268"/>
    <w:rsid w:val="0ADE4AFB"/>
    <w:rsid w:val="0AEA2A65"/>
    <w:rsid w:val="0AF834F6"/>
    <w:rsid w:val="0B0F4898"/>
    <w:rsid w:val="0B3F7375"/>
    <w:rsid w:val="0B4A6F1C"/>
    <w:rsid w:val="0B6438AC"/>
    <w:rsid w:val="0B753006"/>
    <w:rsid w:val="0B850FEB"/>
    <w:rsid w:val="0B876BF9"/>
    <w:rsid w:val="0BA566C5"/>
    <w:rsid w:val="0BAF3FB0"/>
    <w:rsid w:val="0BCC129E"/>
    <w:rsid w:val="0BD8377A"/>
    <w:rsid w:val="0BDD497F"/>
    <w:rsid w:val="0C1C2A48"/>
    <w:rsid w:val="0C321E2C"/>
    <w:rsid w:val="0C445DAC"/>
    <w:rsid w:val="0C4A0B79"/>
    <w:rsid w:val="0C62462F"/>
    <w:rsid w:val="0C7954AA"/>
    <w:rsid w:val="0C8B1C3B"/>
    <w:rsid w:val="0C963338"/>
    <w:rsid w:val="0CB17DC1"/>
    <w:rsid w:val="0CBC763A"/>
    <w:rsid w:val="0CD6036A"/>
    <w:rsid w:val="0CE12A74"/>
    <w:rsid w:val="0CEB5947"/>
    <w:rsid w:val="0CFA66AD"/>
    <w:rsid w:val="0CFC2045"/>
    <w:rsid w:val="0D5D23D0"/>
    <w:rsid w:val="0D6F0ABB"/>
    <w:rsid w:val="0D7E0FB7"/>
    <w:rsid w:val="0DCE4657"/>
    <w:rsid w:val="0DD9510B"/>
    <w:rsid w:val="0DDE668F"/>
    <w:rsid w:val="0DE67CF8"/>
    <w:rsid w:val="0E0A46F2"/>
    <w:rsid w:val="0E2677F4"/>
    <w:rsid w:val="0E353870"/>
    <w:rsid w:val="0E3D5050"/>
    <w:rsid w:val="0E73799F"/>
    <w:rsid w:val="0E7C3383"/>
    <w:rsid w:val="0E7D6E38"/>
    <w:rsid w:val="0E7F05F3"/>
    <w:rsid w:val="0EA46414"/>
    <w:rsid w:val="0ED73453"/>
    <w:rsid w:val="0EF11C62"/>
    <w:rsid w:val="0EF544CC"/>
    <w:rsid w:val="0F0216E2"/>
    <w:rsid w:val="0F073EB1"/>
    <w:rsid w:val="0F0B5BB1"/>
    <w:rsid w:val="0F5F5174"/>
    <w:rsid w:val="0F745FE4"/>
    <w:rsid w:val="0F89417D"/>
    <w:rsid w:val="0F91283E"/>
    <w:rsid w:val="0FB772FD"/>
    <w:rsid w:val="0FD622AE"/>
    <w:rsid w:val="0FE06C9A"/>
    <w:rsid w:val="0FF54290"/>
    <w:rsid w:val="0FF6148D"/>
    <w:rsid w:val="0FF667B4"/>
    <w:rsid w:val="10174009"/>
    <w:rsid w:val="105337CF"/>
    <w:rsid w:val="10710A6D"/>
    <w:rsid w:val="10BC3A09"/>
    <w:rsid w:val="10D1425C"/>
    <w:rsid w:val="10DC4C49"/>
    <w:rsid w:val="10F369C3"/>
    <w:rsid w:val="10FA27B6"/>
    <w:rsid w:val="11136C25"/>
    <w:rsid w:val="11331B6B"/>
    <w:rsid w:val="1133511C"/>
    <w:rsid w:val="11581A62"/>
    <w:rsid w:val="11811B84"/>
    <w:rsid w:val="118171CF"/>
    <w:rsid w:val="11822719"/>
    <w:rsid w:val="11A57737"/>
    <w:rsid w:val="11AB58CE"/>
    <w:rsid w:val="11AF0A66"/>
    <w:rsid w:val="11D54F87"/>
    <w:rsid w:val="11DD34E9"/>
    <w:rsid w:val="11F34879"/>
    <w:rsid w:val="12033F02"/>
    <w:rsid w:val="121E122E"/>
    <w:rsid w:val="12226320"/>
    <w:rsid w:val="122E0C8B"/>
    <w:rsid w:val="12305647"/>
    <w:rsid w:val="12341C66"/>
    <w:rsid w:val="12342670"/>
    <w:rsid w:val="123F31D5"/>
    <w:rsid w:val="124F3944"/>
    <w:rsid w:val="12615E0F"/>
    <w:rsid w:val="126867DE"/>
    <w:rsid w:val="1271616C"/>
    <w:rsid w:val="1274667E"/>
    <w:rsid w:val="12874509"/>
    <w:rsid w:val="12A74847"/>
    <w:rsid w:val="12B01C0E"/>
    <w:rsid w:val="12C32E97"/>
    <w:rsid w:val="12CB6D1F"/>
    <w:rsid w:val="12DE2947"/>
    <w:rsid w:val="12F07BF1"/>
    <w:rsid w:val="12F548C5"/>
    <w:rsid w:val="12F95293"/>
    <w:rsid w:val="13096204"/>
    <w:rsid w:val="131B0A52"/>
    <w:rsid w:val="131F5F58"/>
    <w:rsid w:val="132A7B6F"/>
    <w:rsid w:val="13580251"/>
    <w:rsid w:val="138A29BC"/>
    <w:rsid w:val="139C3338"/>
    <w:rsid w:val="13B9243F"/>
    <w:rsid w:val="13BA40E6"/>
    <w:rsid w:val="13BB6A76"/>
    <w:rsid w:val="13C97E97"/>
    <w:rsid w:val="13CC397B"/>
    <w:rsid w:val="13D10D8A"/>
    <w:rsid w:val="13D43FEE"/>
    <w:rsid w:val="13FB2AA0"/>
    <w:rsid w:val="140456D2"/>
    <w:rsid w:val="141006DA"/>
    <w:rsid w:val="142C3695"/>
    <w:rsid w:val="14355491"/>
    <w:rsid w:val="143A2833"/>
    <w:rsid w:val="1460484C"/>
    <w:rsid w:val="1493741B"/>
    <w:rsid w:val="14B04AE4"/>
    <w:rsid w:val="14C50D70"/>
    <w:rsid w:val="14CA257C"/>
    <w:rsid w:val="14EB39FA"/>
    <w:rsid w:val="14FD6139"/>
    <w:rsid w:val="15134AB4"/>
    <w:rsid w:val="15180A8B"/>
    <w:rsid w:val="151D0CF3"/>
    <w:rsid w:val="15472975"/>
    <w:rsid w:val="154E267F"/>
    <w:rsid w:val="15504CDA"/>
    <w:rsid w:val="155A4347"/>
    <w:rsid w:val="1568596E"/>
    <w:rsid w:val="158441FE"/>
    <w:rsid w:val="15864AAD"/>
    <w:rsid w:val="15933830"/>
    <w:rsid w:val="15942599"/>
    <w:rsid w:val="15A14E32"/>
    <w:rsid w:val="15AD5B9C"/>
    <w:rsid w:val="15BA0762"/>
    <w:rsid w:val="15CD0609"/>
    <w:rsid w:val="15E34A32"/>
    <w:rsid w:val="15F85958"/>
    <w:rsid w:val="162638B4"/>
    <w:rsid w:val="162E3A86"/>
    <w:rsid w:val="16471F96"/>
    <w:rsid w:val="164F55F7"/>
    <w:rsid w:val="16556BB3"/>
    <w:rsid w:val="165B02CF"/>
    <w:rsid w:val="16616BEF"/>
    <w:rsid w:val="166B73DD"/>
    <w:rsid w:val="167026CC"/>
    <w:rsid w:val="16714ADA"/>
    <w:rsid w:val="16742E78"/>
    <w:rsid w:val="1690604E"/>
    <w:rsid w:val="169B51E4"/>
    <w:rsid w:val="16B32C9E"/>
    <w:rsid w:val="16B93632"/>
    <w:rsid w:val="16BC28C4"/>
    <w:rsid w:val="16C82024"/>
    <w:rsid w:val="16CF1310"/>
    <w:rsid w:val="16E21F0A"/>
    <w:rsid w:val="16FD378F"/>
    <w:rsid w:val="17400EF2"/>
    <w:rsid w:val="176A4DF8"/>
    <w:rsid w:val="176F2CE9"/>
    <w:rsid w:val="17A00682"/>
    <w:rsid w:val="17AC7070"/>
    <w:rsid w:val="17BE6297"/>
    <w:rsid w:val="17C36D04"/>
    <w:rsid w:val="17D23B01"/>
    <w:rsid w:val="17D77A19"/>
    <w:rsid w:val="17E96908"/>
    <w:rsid w:val="17FC2A93"/>
    <w:rsid w:val="180E0F25"/>
    <w:rsid w:val="18370399"/>
    <w:rsid w:val="18477D33"/>
    <w:rsid w:val="18676718"/>
    <w:rsid w:val="18690DB4"/>
    <w:rsid w:val="187C3F90"/>
    <w:rsid w:val="189876D2"/>
    <w:rsid w:val="18A65F4E"/>
    <w:rsid w:val="18A721AF"/>
    <w:rsid w:val="18B26F69"/>
    <w:rsid w:val="18C63DB4"/>
    <w:rsid w:val="18DB092F"/>
    <w:rsid w:val="18E27A7B"/>
    <w:rsid w:val="18E971E0"/>
    <w:rsid w:val="191D594F"/>
    <w:rsid w:val="191E364D"/>
    <w:rsid w:val="191F48CE"/>
    <w:rsid w:val="193961FB"/>
    <w:rsid w:val="194D440C"/>
    <w:rsid w:val="196835FD"/>
    <w:rsid w:val="19822669"/>
    <w:rsid w:val="19864C0D"/>
    <w:rsid w:val="19A06DB4"/>
    <w:rsid w:val="19A67154"/>
    <w:rsid w:val="19B43080"/>
    <w:rsid w:val="19BC2C16"/>
    <w:rsid w:val="1A043F81"/>
    <w:rsid w:val="1A2067E6"/>
    <w:rsid w:val="1A22174A"/>
    <w:rsid w:val="1A295208"/>
    <w:rsid w:val="1A3B5D3E"/>
    <w:rsid w:val="1A602F3D"/>
    <w:rsid w:val="1A6B3D83"/>
    <w:rsid w:val="1A6D1A66"/>
    <w:rsid w:val="1A6F0D6B"/>
    <w:rsid w:val="1A9D558A"/>
    <w:rsid w:val="1AA263E5"/>
    <w:rsid w:val="1AAA4C6F"/>
    <w:rsid w:val="1ACF39A4"/>
    <w:rsid w:val="1AD8208E"/>
    <w:rsid w:val="1AEC0341"/>
    <w:rsid w:val="1B1913D7"/>
    <w:rsid w:val="1B1F5AB0"/>
    <w:rsid w:val="1B342E07"/>
    <w:rsid w:val="1B3A74DC"/>
    <w:rsid w:val="1B3B2214"/>
    <w:rsid w:val="1B5A03A0"/>
    <w:rsid w:val="1BA31515"/>
    <w:rsid w:val="1BAF25E1"/>
    <w:rsid w:val="1BEC5685"/>
    <w:rsid w:val="1C0A4AC3"/>
    <w:rsid w:val="1C125C01"/>
    <w:rsid w:val="1C186B4B"/>
    <w:rsid w:val="1C602C17"/>
    <w:rsid w:val="1C816B08"/>
    <w:rsid w:val="1C94433C"/>
    <w:rsid w:val="1CA03F79"/>
    <w:rsid w:val="1CAF258A"/>
    <w:rsid w:val="1D1F6F83"/>
    <w:rsid w:val="1D6810D7"/>
    <w:rsid w:val="1D6E4574"/>
    <w:rsid w:val="1D8156FE"/>
    <w:rsid w:val="1D934910"/>
    <w:rsid w:val="1D937888"/>
    <w:rsid w:val="1DDC484E"/>
    <w:rsid w:val="1DFF5CD6"/>
    <w:rsid w:val="1E1C5DE0"/>
    <w:rsid w:val="1E2753E8"/>
    <w:rsid w:val="1E291F6E"/>
    <w:rsid w:val="1E373A10"/>
    <w:rsid w:val="1E3D1F49"/>
    <w:rsid w:val="1E490E7D"/>
    <w:rsid w:val="1E617683"/>
    <w:rsid w:val="1E6A5EC6"/>
    <w:rsid w:val="1E6D4A2D"/>
    <w:rsid w:val="1E8D59A7"/>
    <w:rsid w:val="1E917EBA"/>
    <w:rsid w:val="1E9E60BA"/>
    <w:rsid w:val="1EAC6594"/>
    <w:rsid w:val="1EBB7407"/>
    <w:rsid w:val="1ECA3EC0"/>
    <w:rsid w:val="1EEC46C2"/>
    <w:rsid w:val="1EF26A8F"/>
    <w:rsid w:val="1F027CC3"/>
    <w:rsid w:val="1F176686"/>
    <w:rsid w:val="1F280C3A"/>
    <w:rsid w:val="1F3A62A2"/>
    <w:rsid w:val="1F413ED2"/>
    <w:rsid w:val="1F674CD9"/>
    <w:rsid w:val="1F6F2C5F"/>
    <w:rsid w:val="1F726AFE"/>
    <w:rsid w:val="1F744839"/>
    <w:rsid w:val="1FAB543F"/>
    <w:rsid w:val="1FC12AEC"/>
    <w:rsid w:val="1FC74EEE"/>
    <w:rsid w:val="1FDB4BD5"/>
    <w:rsid w:val="200C7A39"/>
    <w:rsid w:val="20205B3D"/>
    <w:rsid w:val="203C21F2"/>
    <w:rsid w:val="20712EC5"/>
    <w:rsid w:val="20752709"/>
    <w:rsid w:val="208403B1"/>
    <w:rsid w:val="20E25815"/>
    <w:rsid w:val="20E52410"/>
    <w:rsid w:val="20F104C3"/>
    <w:rsid w:val="2102366F"/>
    <w:rsid w:val="21026E20"/>
    <w:rsid w:val="21055A4E"/>
    <w:rsid w:val="212E7E65"/>
    <w:rsid w:val="213F6594"/>
    <w:rsid w:val="215D625D"/>
    <w:rsid w:val="21682C0C"/>
    <w:rsid w:val="219060D3"/>
    <w:rsid w:val="21A16A21"/>
    <w:rsid w:val="21A975E0"/>
    <w:rsid w:val="21B47BD7"/>
    <w:rsid w:val="21B70A22"/>
    <w:rsid w:val="21C56FBF"/>
    <w:rsid w:val="21CD438D"/>
    <w:rsid w:val="21DF70C5"/>
    <w:rsid w:val="21EA452A"/>
    <w:rsid w:val="21EF71CB"/>
    <w:rsid w:val="21F07721"/>
    <w:rsid w:val="21FB65A5"/>
    <w:rsid w:val="220A4E5E"/>
    <w:rsid w:val="22265A9E"/>
    <w:rsid w:val="222A31E6"/>
    <w:rsid w:val="222C6B20"/>
    <w:rsid w:val="223C6F91"/>
    <w:rsid w:val="22513C0B"/>
    <w:rsid w:val="227D1323"/>
    <w:rsid w:val="229E1C5A"/>
    <w:rsid w:val="22A4310A"/>
    <w:rsid w:val="22E215A1"/>
    <w:rsid w:val="22EE6F04"/>
    <w:rsid w:val="22FE4043"/>
    <w:rsid w:val="2305626A"/>
    <w:rsid w:val="230F6312"/>
    <w:rsid w:val="23196340"/>
    <w:rsid w:val="232764B2"/>
    <w:rsid w:val="23375E94"/>
    <w:rsid w:val="237A102C"/>
    <w:rsid w:val="237A1B46"/>
    <w:rsid w:val="239469B2"/>
    <w:rsid w:val="2399419A"/>
    <w:rsid w:val="23BB66EB"/>
    <w:rsid w:val="23CA549E"/>
    <w:rsid w:val="23DB164B"/>
    <w:rsid w:val="23DE57B9"/>
    <w:rsid w:val="23E87425"/>
    <w:rsid w:val="23FD1A36"/>
    <w:rsid w:val="24153CDA"/>
    <w:rsid w:val="24160E0B"/>
    <w:rsid w:val="242243AD"/>
    <w:rsid w:val="2442332B"/>
    <w:rsid w:val="245B280F"/>
    <w:rsid w:val="24645D91"/>
    <w:rsid w:val="24873670"/>
    <w:rsid w:val="2487520C"/>
    <w:rsid w:val="24886103"/>
    <w:rsid w:val="24993946"/>
    <w:rsid w:val="24AC38B1"/>
    <w:rsid w:val="24DB615B"/>
    <w:rsid w:val="24DD3A3C"/>
    <w:rsid w:val="24E36541"/>
    <w:rsid w:val="251B0465"/>
    <w:rsid w:val="252001D2"/>
    <w:rsid w:val="252272D4"/>
    <w:rsid w:val="25626368"/>
    <w:rsid w:val="25846C41"/>
    <w:rsid w:val="25982528"/>
    <w:rsid w:val="25A1457B"/>
    <w:rsid w:val="25AC04E5"/>
    <w:rsid w:val="25B11836"/>
    <w:rsid w:val="25B32D89"/>
    <w:rsid w:val="25BC7227"/>
    <w:rsid w:val="25BE77F1"/>
    <w:rsid w:val="25C83E9B"/>
    <w:rsid w:val="25C855F4"/>
    <w:rsid w:val="25FB5A6F"/>
    <w:rsid w:val="26012362"/>
    <w:rsid w:val="26015127"/>
    <w:rsid w:val="26055BA1"/>
    <w:rsid w:val="26120B84"/>
    <w:rsid w:val="26204186"/>
    <w:rsid w:val="26367D24"/>
    <w:rsid w:val="26383A47"/>
    <w:rsid w:val="263B164B"/>
    <w:rsid w:val="26483682"/>
    <w:rsid w:val="26574751"/>
    <w:rsid w:val="2662062A"/>
    <w:rsid w:val="266276AE"/>
    <w:rsid w:val="26661339"/>
    <w:rsid w:val="26886E25"/>
    <w:rsid w:val="26BF385A"/>
    <w:rsid w:val="26D05831"/>
    <w:rsid w:val="26D138BC"/>
    <w:rsid w:val="26D4681B"/>
    <w:rsid w:val="26D47CFF"/>
    <w:rsid w:val="26D858DD"/>
    <w:rsid w:val="26EE7936"/>
    <w:rsid w:val="27167A9A"/>
    <w:rsid w:val="271B31E2"/>
    <w:rsid w:val="27242B1E"/>
    <w:rsid w:val="272E63C3"/>
    <w:rsid w:val="27303AF0"/>
    <w:rsid w:val="276D6532"/>
    <w:rsid w:val="279A457B"/>
    <w:rsid w:val="279B2A6B"/>
    <w:rsid w:val="27AA6837"/>
    <w:rsid w:val="27B27968"/>
    <w:rsid w:val="27BF19F1"/>
    <w:rsid w:val="27C05515"/>
    <w:rsid w:val="27D976B7"/>
    <w:rsid w:val="27F7467F"/>
    <w:rsid w:val="280D2782"/>
    <w:rsid w:val="281E2184"/>
    <w:rsid w:val="2820497D"/>
    <w:rsid w:val="2828239B"/>
    <w:rsid w:val="28365B0D"/>
    <w:rsid w:val="28493E3A"/>
    <w:rsid w:val="28533DCD"/>
    <w:rsid w:val="287C02E8"/>
    <w:rsid w:val="288C28D9"/>
    <w:rsid w:val="28945176"/>
    <w:rsid w:val="289B2ADC"/>
    <w:rsid w:val="289C055B"/>
    <w:rsid w:val="28C102AE"/>
    <w:rsid w:val="28C90FEF"/>
    <w:rsid w:val="28CE6CB1"/>
    <w:rsid w:val="28E81A4D"/>
    <w:rsid w:val="290765B2"/>
    <w:rsid w:val="294078DC"/>
    <w:rsid w:val="29970FA7"/>
    <w:rsid w:val="29BC05FD"/>
    <w:rsid w:val="29CE34D4"/>
    <w:rsid w:val="29DB1716"/>
    <w:rsid w:val="2A026636"/>
    <w:rsid w:val="2A170E4A"/>
    <w:rsid w:val="2A2A7CBB"/>
    <w:rsid w:val="2A4F291D"/>
    <w:rsid w:val="2A50679B"/>
    <w:rsid w:val="2A615DA2"/>
    <w:rsid w:val="2A840B3D"/>
    <w:rsid w:val="2A8A6033"/>
    <w:rsid w:val="2AB12391"/>
    <w:rsid w:val="2AB836F7"/>
    <w:rsid w:val="2ACF7A7A"/>
    <w:rsid w:val="2AD175C6"/>
    <w:rsid w:val="2AEE1830"/>
    <w:rsid w:val="2B010E18"/>
    <w:rsid w:val="2B087629"/>
    <w:rsid w:val="2B510289"/>
    <w:rsid w:val="2B762BE4"/>
    <w:rsid w:val="2B8353DA"/>
    <w:rsid w:val="2B835C26"/>
    <w:rsid w:val="2B902EA9"/>
    <w:rsid w:val="2BC930F2"/>
    <w:rsid w:val="2BD22F20"/>
    <w:rsid w:val="2BE46337"/>
    <w:rsid w:val="2BF32FFA"/>
    <w:rsid w:val="2C0E05BE"/>
    <w:rsid w:val="2C203EDE"/>
    <w:rsid w:val="2C387162"/>
    <w:rsid w:val="2C5114A5"/>
    <w:rsid w:val="2C6829F6"/>
    <w:rsid w:val="2C8813A6"/>
    <w:rsid w:val="2C9D0BCD"/>
    <w:rsid w:val="2CA06683"/>
    <w:rsid w:val="2CAA3B7C"/>
    <w:rsid w:val="2CD73658"/>
    <w:rsid w:val="2CF3171B"/>
    <w:rsid w:val="2CF612CA"/>
    <w:rsid w:val="2D22286C"/>
    <w:rsid w:val="2D3F6B90"/>
    <w:rsid w:val="2D4C0C2A"/>
    <w:rsid w:val="2D4F5E78"/>
    <w:rsid w:val="2D5C3AFA"/>
    <w:rsid w:val="2D67086F"/>
    <w:rsid w:val="2D7B2228"/>
    <w:rsid w:val="2D892B0A"/>
    <w:rsid w:val="2D9A652C"/>
    <w:rsid w:val="2DC1313F"/>
    <w:rsid w:val="2DC403EB"/>
    <w:rsid w:val="2DC70911"/>
    <w:rsid w:val="2DDB2B9E"/>
    <w:rsid w:val="2E1D3832"/>
    <w:rsid w:val="2E2D20C6"/>
    <w:rsid w:val="2E377C4A"/>
    <w:rsid w:val="2E395CD4"/>
    <w:rsid w:val="2E3B33EE"/>
    <w:rsid w:val="2E514F62"/>
    <w:rsid w:val="2E655FDE"/>
    <w:rsid w:val="2E8E4448"/>
    <w:rsid w:val="2E9C528E"/>
    <w:rsid w:val="2ECA79F4"/>
    <w:rsid w:val="2EE10174"/>
    <w:rsid w:val="2EE557AD"/>
    <w:rsid w:val="2EEC03E6"/>
    <w:rsid w:val="2F0248DB"/>
    <w:rsid w:val="2F083BFA"/>
    <w:rsid w:val="2F0A4B06"/>
    <w:rsid w:val="2F491A51"/>
    <w:rsid w:val="2F553120"/>
    <w:rsid w:val="2F757077"/>
    <w:rsid w:val="2F797CB0"/>
    <w:rsid w:val="2F9330EA"/>
    <w:rsid w:val="2F9622A9"/>
    <w:rsid w:val="2FA815F6"/>
    <w:rsid w:val="2FAC1B58"/>
    <w:rsid w:val="2FB30D35"/>
    <w:rsid w:val="2FB815C8"/>
    <w:rsid w:val="2FCC4319"/>
    <w:rsid w:val="2FCF6832"/>
    <w:rsid w:val="2FDC5C36"/>
    <w:rsid w:val="2FF47F2D"/>
    <w:rsid w:val="2FFF1D8C"/>
    <w:rsid w:val="300E0F98"/>
    <w:rsid w:val="30396FFA"/>
    <w:rsid w:val="303976E0"/>
    <w:rsid w:val="305B1E9F"/>
    <w:rsid w:val="305D6267"/>
    <w:rsid w:val="30751033"/>
    <w:rsid w:val="30932E97"/>
    <w:rsid w:val="30B02424"/>
    <w:rsid w:val="30C20DA3"/>
    <w:rsid w:val="30CB0CE3"/>
    <w:rsid w:val="30E16088"/>
    <w:rsid w:val="30E93922"/>
    <w:rsid w:val="30FA531C"/>
    <w:rsid w:val="30FF1F8B"/>
    <w:rsid w:val="310B5222"/>
    <w:rsid w:val="31213B64"/>
    <w:rsid w:val="31364549"/>
    <w:rsid w:val="31506B27"/>
    <w:rsid w:val="315D59EC"/>
    <w:rsid w:val="319D761F"/>
    <w:rsid w:val="31AD1085"/>
    <w:rsid w:val="31C51555"/>
    <w:rsid w:val="31CA4267"/>
    <w:rsid w:val="31E52CA2"/>
    <w:rsid w:val="31F0380A"/>
    <w:rsid w:val="31FB0412"/>
    <w:rsid w:val="3224647A"/>
    <w:rsid w:val="325F40B2"/>
    <w:rsid w:val="3267267F"/>
    <w:rsid w:val="32D03BDB"/>
    <w:rsid w:val="32DF77CF"/>
    <w:rsid w:val="32F26D6D"/>
    <w:rsid w:val="32F61944"/>
    <w:rsid w:val="32F8202D"/>
    <w:rsid w:val="32FE2637"/>
    <w:rsid w:val="331649FA"/>
    <w:rsid w:val="3331201A"/>
    <w:rsid w:val="333A6C0D"/>
    <w:rsid w:val="333D3983"/>
    <w:rsid w:val="334C528E"/>
    <w:rsid w:val="335826FE"/>
    <w:rsid w:val="335B58B8"/>
    <w:rsid w:val="337D119B"/>
    <w:rsid w:val="338163D6"/>
    <w:rsid w:val="339611CC"/>
    <w:rsid w:val="3399111E"/>
    <w:rsid w:val="33BD028E"/>
    <w:rsid w:val="33BD3F81"/>
    <w:rsid w:val="33C0669B"/>
    <w:rsid w:val="33C65A42"/>
    <w:rsid w:val="33C82C9D"/>
    <w:rsid w:val="33DE4C20"/>
    <w:rsid w:val="33E54370"/>
    <w:rsid w:val="34266134"/>
    <w:rsid w:val="342F4F19"/>
    <w:rsid w:val="344426AD"/>
    <w:rsid w:val="34517676"/>
    <w:rsid w:val="34816614"/>
    <w:rsid w:val="348D59F9"/>
    <w:rsid w:val="3495346F"/>
    <w:rsid w:val="349C49C9"/>
    <w:rsid w:val="34A15F78"/>
    <w:rsid w:val="34B5450E"/>
    <w:rsid w:val="34CA7218"/>
    <w:rsid w:val="34DD250B"/>
    <w:rsid w:val="34FB523A"/>
    <w:rsid w:val="350D3D54"/>
    <w:rsid w:val="351151B7"/>
    <w:rsid w:val="351C25B4"/>
    <w:rsid w:val="351F7180"/>
    <w:rsid w:val="35213D98"/>
    <w:rsid w:val="35281B34"/>
    <w:rsid w:val="355775D7"/>
    <w:rsid w:val="355E13A3"/>
    <w:rsid w:val="357705B7"/>
    <w:rsid w:val="357956A4"/>
    <w:rsid w:val="35A11CCC"/>
    <w:rsid w:val="35A8774A"/>
    <w:rsid w:val="35D10B81"/>
    <w:rsid w:val="35E13616"/>
    <w:rsid w:val="35FA702A"/>
    <w:rsid w:val="360A5777"/>
    <w:rsid w:val="360C4BD6"/>
    <w:rsid w:val="363D6B17"/>
    <w:rsid w:val="363E500D"/>
    <w:rsid w:val="363F0B8B"/>
    <w:rsid w:val="36534330"/>
    <w:rsid w:val="36565146"/>
    <w:rsid w:val="367467F8"/>
    <w:rsid w:val="36941EEC"/>
    <w:rsid w:val="36B15B31"/>
    <w:rsid w:val="36B91AF8"/>
    <w:rsid w:val="36BB3C8D"/>
    <w:rsid w:val="36F569A5"/>
    <w:rsid w:val="36FD0E32"/>
    <w:rsid w:val="36FD22B2"/>
    <w:rsid w:val="36FF5793"/>
    <w:rsid w:val="37265561"/>
    <w:rsid w:val="37463CAE"/>
    <w:rsid w:val="375549F7"/>
    <w:rsid w:val="37577DCC"/>
    <w:rsid w:val="379F097D"/>
    <w:rsid w:val="37B03B5A"/>
    <w:rsid w:val="37C07E9C"/>
    <w:rsid w:val="37CD3240"/>
    <w:rsid w:val="37DE187F"/>
    <w:rsid w:val="37E6633B"/>
    <w:rsid w:val="3828264A"/>
    <w:rsid w:val="382B401E"/>
    <w:rsid w:val="38657F32"/>
    <w:rsid w:val="386B7E06"/>
    <w:rsid w:val="386F47CC"/>
    <w:rsid w:val="387B1EE0"/>
    <w:rsid w:val="38A60437"/>
    <w:rsid w:val="38B127F0"/>
    <w:rsid w:val="38B14D81"/>
    <w:rsid w:val="38B224EC"/>
    <w:rsid w:val="38C447E0"/>
    <w:rsid w:val="38D84CD9"/>
    <w:rsid w:val="38E647A3"/>
    <w:rsid w:val="39087643"/>
    <w:rsid w:val="39100E40"/>
    <w:rsid w:val="39282D10"/>
    <w:rsid w:val="394B6D49"/>
    <w:rsid w:val="394E6876"/>
    <w:rsid w:val="3950477A"/>
    <w:rsid w:val="39564475"/>
    <w:rsid w:val="39755F94"/>
    <w:rsid w:val="39836B5E"/>
    <w:rsid w:val="39A12980"/>
    <w:rsid w:val="39A25583"/>
    <w:rsid w:val="39BB1802"/>
    <w:rsid w:val="39C847A9"/>
    <w:rsid w:val="39D13C03"/>
    <w:rsid w:val="3A092329"/>
    <w:rsid w:val="3A10228C"/>
    <w:rsid w:val="3A1C5614"/>
    <w:rsid w:val="3A2E38A7"/>
    <w:rsid w:val="3A310B53"/>
    <w:rsid w:val="3A4B2355"/>
    <w:rsid w:val="3A7C2480"/>
    <w:rsid w:val="3A991743"/>
    <w:rsid w:val="3AC45EF6"/>
    <w:rsid w:val="3ACF659F"/>
    <w:rsid w:val="3ADE040F"/>
    <w:rsid w:val="3B1165D5"/>
    <w:rsid w:val="3B225D6C"/>
    <w:rsid w:val="3B3D104A"/>
    <w:rsid w:val="3B5719FC"/>
    <w:rsid w:val="3B6169D5"/>
    <w:rsid w:val="3B7B5680"/>
    <w:rsid w:val="3BB904C1"/>
    <w:rsid w:val="3BC322EC"/>
    <w:rsid w:val="3BD1530A"/>
    <w:rsid w:val="3BD84CDA"/>
    <w:rsid w:val="3BE51DB4"/>
    <w:rsid w:val="3BEB686B"/>
    <w:rsid w:val="3C0339F7"/>
    <w:rsid w:val="3C034C36"/>
    <w:rsid w:val="3C095F2B"/>
    <w:rsid w:val="3C240690"/>
    <w:rsid w:val="3C2D6673"/>
    <w:rsid w:val="3C2F3B50"/>
    <w:rsid w:val="3C3E07EA"/>
    <w:rsid w:val="3C3E4DDF"/>
    <w:rsid w:val="3C4543DD"/>
    <w:rsid w:val="3C5615AC"/>
    <w:rsid w:val="3C6B284F"/>
    <w:rsid w:val="3C842A92"/>
    <w:rsid w:val="3C8737DA"/>
    <w:rsid w:val="3C873A90"/>
    <w:rsid w:val="3CAA264B"/>
    <w:rsid w:val="3CB41C23"/>
    <w:rsid w:val="3CCC3960"/>
    <w:rsid w:val="3CD966CB"/>
    <w:rsid w:val="3CFB7804"/>
    <w:rsid w:val="3D2A5230"/>
    <w:rsid w:val="3D2F7A77"/>
    <w:rsid w:val="3D400C76"/>
    <w:rsid w:val="3D81716C"/>
    <w:rsid w:val="3D95193D"/>
    <w:rsid w:val="3D960606"/>
    <w:rsid w:val="3D9761A2"/>
    <w:rsid w:val="3DA5596D"/>
    <w:rsid w:val="3DB15638"/>
    <w:rsid w:val="3DC24D12"/>
    <w:rsid w:val="3DC759C8"/>
    <w:rsid w:val="3DEB2C73"/>
    <w:rsid w:val="3DF076A8"/>
    <w:rsid w:val="3E1013AC"/>
    <w:rsid w:val="3E4723EC"/>
    <w:rsid w:val="3E5F3D7C"/>
    <w:rsid w:val="3E7F4550"/>
    <w:rsid w:val="3E8A5DF4"/>
    <w:rsid w:val="3E984349"/>
    <w:rsid w:val="3EB91EEE"/>
    <w:rsid w:val="3ECA029E"/>
    <w:rsid w:val="3F03055D"/>
    <w:rsid w:val="3F0A0D96"/>
    <w:rsid w:val="3F0A4D0B"/>
    <w:rsid w:val="3F19710F"/>
    <w:rsid w:val="3F34676E"/>
    <w:rsid w:val="3F3B4DF4"/>
    <w:rsid w:val="3F5A0A11"/>
    <w:rsid w:val="3F72070F"/>
    <w:rsid w:val="3F876E44"/>
    <w:rsid w:val="3F9A0CBF"/>
    <w:rsid w:val="3F9A44D8"/>
    <w:rsid w:val="3FAB2357"/>
    <w:rsid w:val="3FAD6C69"/>
    <w:rsid w:val="3FBC7E62"/>
    <w:rsid w:val="3FC5130B"/>
    <w:rsid w:val="40070705"/>
    <w:rsid w:val="4024030B"/>
    <w:rsid w:val="4031347D"/>
    <w:rsid w:val="40327908"/>
    <w:rsid w:val="403614C0"/>
    <w:rsid w:val="40484A26"/>
    <w:rsid w:val="40543300"/>
    <w:rsid w:val="40AC19EC"/>
    <w:rsid w:val="40C778E5"/>
    <w:rsid w:val="40D37E96"/>
    <w:rsid w:val="40D80103"/>
    <w:rsid w:val="410A610E"/>
    <w:rsid w:val="411B76DA"/>
    <w:rsid w:val="41280B1B"/>
    <w:rsid w:val="413F6E4E"/>
    <w:rsid w:val="4147332E"/>
    <w:rsid w:val="414A1AA2"/>
    <w:rsid w:val="414C15F5"/>
    <w:rsid w:val="414D4C87"/>
    <w:rsid w:val="417E3455"/>
    <w:rsid w:val="41895651"/>
    <w:rsid w:val="418C3396"/>
    <w:rsid w:val="41E158C8"/>
    <w:rsid w:val="41E43A31"/>
    <w:rsid w:val="41E720D4"/>
    <w:rsid w:val="42007461"/>
    <w:rsid w:val="420D358F"/>
    <w:rsid w:val="42192A90"/>
    <w:rsid w:val="422E47C9"/>
    <w:rsid w:val="42576C59"/>
    <w:rsid w:val="4263053D"/>
    <w:rsid w:val="42773E1E"/>
    <w:rsid w:val="42825696"/>
    <w:rsid w:val="42CF5591"/>
    <w:rsid w:val="42F5096B"/>
    <w:rsid w:val="42F7557C"/>
    <w:rsid w:val="43443FD7"/>
    <w:rsid w:val="43472034"/>
    <w:rsid w:val="439915C1"/>
    <w:rsid w:val="43CC0413"/>
    <w:rsid w:val="43F34CAD"/>
    <w:rsid w:val="43FF4520"/>
    <w:rsid w:val="441A3132"/>
    <w:rsid w:val="444749D4"/>
    <w:rsid w:val="44485AE9"/>
    <w:rsid w:val="4486294E"/>
    <w:rsid w:val="4489195C"/>
    <w:rsid w:val="449C4FC4"/>
    <w:rsid w:val="44A2605D"/>
    <w:rsid w:val="44D17311"/>
    <w:rsid w:val="44EC0E58"/>
    <w:rsid w:val="44F87F3A"/>
    <w:rsid w:val="44FD6374"/>
    <w:rsid w:val="4522775A"/>
    <w:rsid w:val="45347BAE"/>
    <w:rsid w:val="45486E34"/>
    <w:rsid w:val="454D6EC5"/>
    <w:rsid w:val="456270FF"/>
    <w:rsid w:val="4583403E"/>
    <w:rsid w:val="459016BB"/>
    <w:rsid w:val="4590539B"/>
    <w:rsid w:val="45A05F93"/>
    <w:rsid w:val="45AD24A6"/>
    <w:rsid w:val="45B67056"/>
    <w:rsid w:val="45CB3107"/>
    <w:rsid w:val="45CC5B0A"/>
    <w:rsid w:val="45E66E79"/>
    <w:rsid w:val="45FD6A5E"/>
    <w:rsid w:val="462829D5"/>
    <w:rsid w:val="464A5814"/>
    <w:rsid w:val="465376C2"/>
    <w:rsid w:val="46666861"/>
    <w:rsid w:val="466D0712"/>
    <w:rsid w:val="46747D6D"/>
    <w:rsid w:val="4680611C"/>
    <w:rsid w:val="46A64D13"/>
    <w:rsid w:val="46A9581F"/>
    <w:rsid w:val="46C462FC"/>
    <w:rsid w:val="46CE6091"/>
    <w:rsid w:val="46F372D1"/>
    <w:rsid w:val="4700524B"/>
    <w:rsid w:val="47154160"/>
    <w:rsid w:val="473714FC"/>
    <w:rsid w:val="474859E7"/>
    <w:rsid w:val="476A62DD"/>
    <w:rsid w:val="476E357E"/>
    <w:rsid w:val="477F1572"/>
    <w:rsid w:val="47AF6959"/>
    <w:rsid w:val="47B6592C"/>
    <w:rsid w:val="47BB0731"/>
    <w:rsid w:val="47BC2232"/>
    <w:rsid w:val="47CA2E1B"/>
    <w:rsid w:val="47F578CD"/>
    <w:rsid w:val="47FA6F25"/>
    <w:rsid w:val="48022B6C"/>
    <w:rsid w:val="48321CD3"/>
    <w:rsid w:val="483B2730"/>
    <w:rsid w:val="483C2602"/>
    <w:rsid w:val="486C0770"/>
    <w:rsid w:val="487567ED"/>
    <w:rsid w:val="488232A4"/>
    <w:rsid w:val="48A26C47"/>
    <w:rsid w:val="48C02F99"/>
    <w:rsid w:val="48DF0109"/>
    <w:rsid w:val="48EB6CAA"/>
    <w:rsid w:val="48FD635F"/>
    <w:rsid w:val="493306F9"/>
    <w:rsid w:val="49397B27"/>
    <w:rsid w:val="49466D2C"/>
    <w:rsid w:val="494E098F"/>
    <w:rsid w:val="49813593"/>
    <w:rsid w:val="49B55FAB"/>
    <w:rsid w:val="49D33BCE"/>
    <w:rsid w:val="49EB556E"/>
    <w:rsid w:val="49F36882"/>
    <w:rsid w:val="49FD0791"/>
    <w:rsid w:val="4A28741A"/>
    <w:rsid w:val="4A532687"/>
    <w:rsid w:val="4A5F6C35"/>
    <w:rsid w:val="4A6A74EF"/>
    <w:rsid w:val="4A760748"/>
    <w:rsid w:val="4A8E7B4F"/>
    <w:rsid w:val="4AC42744"/>
    <w:rsid w:val="4AC51759"/>
    <w:rsid w:val="4ACE0CC9"/>
    <w:rsid w:val="4AFC5A19"/>
    <w:rsid w:val="4B0941B1"/>
    <w:rsid w:val="4B0A4E60"/>
    <w:rsid w:val="4B193674"/>
    <w:rsid w:val="4B29118F"/>
    <w:rsid w:val="4B375F63"/>
    <w:rsid w:val="4B6446B9"/>
    <w:rsid w:val="4B7067A3"/>
    <w:rsid w:val="4BC505F0"/>
    <w:rsid w:val="4BCB3C53"/>
    <w:rsid w:val="4BCC19F3"/>
    <w:rsid w:val="4BD3655C"/>
    <w:rsid w:val="4C0514F0"/>
    <w:rsid w:val="4C067134"/>
    <w:rsid w:val="4C0C7919"/>
    <w:rsid w:val="4C31210A"/>
    <w:rsid w:val="4C4C14DA"/>
    <w:rsid w:val="4C5A3490"/>
    <w:rsid w:val="4C756ED2"/>
    <w:rsid w:val="4C816C54"/>
    <w:rsid w:val="4C8F3AB0"/>
    <w:rsid w:val="4C9847F4"/>
    <w:rsid w:val="4CD23ADB"/>
    <w:rsid w:val="4CF70F7E"/>
    <w:rsid w:val="4CFA1B9A"/>
    <w:rsid w:val="4D03055B"/>
    <w:rsid w:val="4D052C80"/>
    <w:rsid w:val="4D2355DA"/>
    <w:rsid w:val="4D25229D"/>
    <w:rsid w:val="4D2E4761"/>
    <w:rsid w:val="4D6620BA"/>
    <w:rsid w:val="4D77217B"/>
    <w:rsid w:val="4D87353C"/>
    <w:rsid w:val="4D8E2181"/>
    <w:rsid w:val="4DB22CCE"/>
    <w:rsid w:val="4DEA7277"/>
    <w:rsid w:val="4E1613AF"/>
    <w:rsid w:val="4E1C7534"/>
    <w:rsid w:val="4E2342C0"/>
    <w:rsid w:val="4E2F79AE"/>
    <w:rsid w:val="4E4C6D69"/>
    <w:rsid w:val="4E4D6001"/>
    <w:rsid w:val="4E594357"/>
    <w:rsid w:val="4E615F6A"/>
    <w:rsid w:val="4E7C0011"/>
    <w:rsid w:val="4E8323B0"/>
    <w:rsid w:val="4E9E6F7C"/>
    <w:rsid w:val="4EB0648F"/>
    <w:rsid w:val="4F06361E"/>
    <w:rsid w:val="4F175ADE"/>
    <w:rsid w:val="4F193F62"/>
    <w:rsid w:val="4F2932C3"/>
    <w:rsid w:val="4F4D3351"/>
    <w:rsid w:val="4F7237DF"/>
    <w:rsid w:val="4F832CE2"/>
    <w:rsid w:val="4FAA0FBF"/>
    <w:rsid w:val="4FAB462B"/>
    <w:rsid w:val="4FD10F27"/>
    <w:rsid w:val="4FD278B9"/>
    <w:rsid w:val="4FD309B1"/>
    <w:rsid w:val="4FD315D9"/>
    <w:rsid w:val="4FEB4580"/>
    <w:rsid w:val="4FF20EE9"/>
    <w:rsid w:val="502E73B8"/>
    <w:rsid w:val="504E3F9F"/>
    <w:rsid w:val="50832B38"/>
    <w:rsid w:val="509E07DA"/>
    <w:rsid w:val="50A861AB"/>
    <w:rsid w:val="50C31021"/>
    <w:rsid w:val="50DE2168"/>
    <w:rsid w:val="51071841"/>
    <w:rsid w:val="512D2264"/>
    <w:rsid w:val="512E0FC9"/>
    <w:rsid w:val="518B79F2"/>
    <w:rsid w:val="518C0B95"/>
    <w:rsid w:val="51B418F8"/>
    <w:rsid w:val="51DC5D84"/>
    <w:rsid w:val="51E95341"/>
    <w:rsid w:val="52154CBC"/>
    <w:rsid w:val="52196AD1"/>
    <w:rsid w:val="522C36BF"/>
    <w:rsid w:val="524D3C83"/>
    <w:rsid w:val="526E5D6F"/>
    <w:rsid w:val="529E0149"/>
    <w:rsid w:val="52A87A09"/>
    <w:rsid w:val="52B40A12"/>
    <w:rsid w:val="52BC6E8B"/>
    <w:rsid w:val="52C9628E"/>
    <w:rsid w:val="52D60801"/>
    <w:rsid w:val="52D8177E"/>
    <w:rsid w:val="52DC31E9"/>
    <w:rsid w:val="52DC7481"/>
    <w:rsid w:val="52E3297C"/>
    <w:rsid w:val="52E7389F"/>
    <w:rsid w:val="53153320"/>
    <w:rsid w:val="532B7DDC"/>
    <w:rsid w:val="533E19B2"/>
    <w:rsid w:val="5353217A"/>
    <w:rsid w:val="53751E94"/>
    <w:rsid w:val="53967D9D"/>
    <w:rsid w:val="53B3764E"/>
    <w:rsid w:val="53BA0338"/>
    <w:rsid w:val="53F208D5"/>
    <w:rsid w:val="53FC7486"/>
    <w:rsid w:val="5406420D"/>
    <w:rsid w:val="541A41FD"/>
    <w:rsid w:val="54266F86"/>
    <w:rsid w:val="544314CB"/>
    <w:rsid w:val="54450BE4"/>
    <w:rsid w:val="54522BFA"/>
    <w:rsid w:val="54C362A2"/>
    <w:rsid w:val="54C55C34"/>
    <w:rsid w:val="54CD233D"/>
    <w:rsid w:val="54DA197D"/>
    <w:rsid w:val="54DD4BD6"/>
    <w:rsid w:val="54EE229F"/>
    <w:rsid w:val="54F34881"/>
    <w:rsid w:val="54F37FEA"/>
    <w:rsid w:val="55391410"/>
    <w:rsid w:val="554E3860"/>
    <w:rsid w:val="55522B4B"/>
    <w:rsid w:val="55613D5E"/>
    <w:rsid w:val="556314BB"/>
    <w:rsid w:val="55812726"/>
    <w:rsid w:val="5594474A"/>
    <w:rsid w:val="55A3232F"/>
    <w:rsid w:val="55D00BBC"/>
    <w:rsid w:val="55E4508B"/>
    <w:rsid w:val="55F436CD"/>
    <w:rsid w:val="55F9208F"/>
    <w:rsid w:val="55F93879"/>
    <w:rsid w:val="56115262"/>
    <w:rsid w:val="561F6366"/>
    <w:rsid w:val="564364EF"/>
    <w:rsid w:val="56467997"/>
    <w:rsid w:val="566039F4"/>
    <w:rsid w:val="56606817"/>
    <w:rsid w:val="566F7298"/>
    <w:rsid w:val="567017EC"/>
    <w:rsid w:val="5680055B"/>
    <w:rsid w:val="5689258F"/>
    <w:rsid w:val="56C26BE1"/>
    <w:rsid w:val="56C8211E"/>
    <w:rsid w:val="57094B40"/>
    <w:rsid w:val="57212FE2"/>
    <w:rsid w:val="572F78AF"/>
    <w:rsid w:val="573322F1"/>
    <w:rsid w:val="57371491"/>
    <w:rsid w:val="573A57C1"/>
    <w:rsid w:val="57486D50"/>
    <w:rsid w:val="57631F83"/>
    <w:rsid w:val="577E27DB"/>
    <w:rsid w:val="57870989"/>
    <w:rsid w:val="57B64518"/>
    <w:rsid w:val="57B8311F"/>
    <w:rsid w:val="57C60818"/>
    <w:rsid w:val="57D065DE"/>
    <w:rsid w:val="57D20812"/>
    <w:rsid w:val="57DE26A0"/>
    <w:rsid w:val="57FB3795"/>
    <w:rsid w:val="58134FA4"/>
    <w:rsid w:val="58207431"/>
    <w:rsid w:val="584A1104"/>
    <w:rsid w:val="58662B26"/>
    <w:rsid w:val="58755672"/>
    <w:rsid w:val="58776F34"/>
    <w:rsid w:val="588A4CDF"/>
    <w:rsid w:val="5899641B"/>
    <w:rsid w:val="58A12707"/>
    <w:rsid w:val="58A67C9E"/>
    <w:rsid w:val="58D561C3"/>
    <w:rsid w:val="58E20151"/>
    <w:rsid w:val="58F558E1"/>
    <w:rsid w:val="59055FFA"/>
    <w:rsid w:val="590F752C"/>
    <w:rsid w:val="5930697A"/>
    <w:rsid w:val="59326166"/>
    <w:rsid w:val="5943246D"/>
    <w:rsid w:val="59564887"/>
    <w:rsid w:val="59565BDC"/>
    <w:rsid w:val="595C32D5"/>
    <w:rsid w:val="59730594"/>
    <w:rsid w:val="598863A4"/>
    <w:rsid w:val="598968A8"/>
    <w:rsid w:val="59A91141"/>
    <w:rsid w:val="59C91407"/>
    <w:rsid w:val="59DA76BB"/>
    <w:rsid w:val="59FC151E"/>
    <w:rsid w:val="5A064B82"/>
    <w:rsid w:val="5A104B49"/>
    <w:rsid w:val="5A172CE3"/>
    <w:rsid w:val="5A3A2170"/>
    <w:rsid w:val="5A621ED0"/>
    <w:rsid w:val="5A8D7A47"/>
    <w:rsid w:val="5AA621EE"/>
    <w:rsid w:val="5AA76DB5"/>
    <w:rsid w:val="5ACA2289"/>
    <w:rsid w:val="5AD16070"/>
    <w:rsid w:val="5AE43616"/>
    <w:rsid w:val="5AFB1731"/>
    <w:rsid w:val="5AFD280A"/>
    <w:rsid w:val="5B0B05DD"/>
    <w:rsid w:val="5B1A73E7"/>
    <w:rsid w:val="5B2C29F0"/>
    <w:rsid w:val="5B3E5B88"/>
    <w:rsid w:val="5B4F36F2"/>
    <w:rsid w:val="5B553780"/>
    <w:rsid w:val="5B6539B6"/>
    <w:rsid w:val="5B8A2703"/>
    <w:rsid w:val="5BAE1ACB"/>
    <w:rsid w:val="5BBD244E"/>
    <w:rsid w:val="5BFD3FA5"/>
    <w:rsid w:val="5C07237B"/>
    <w:rsid w:val="5C0868F3"/>
    <w:rsid w:val="5C182377"/>
    <w:rsid w:val="5C306F53"/>
    <w:rsid w:val="5C367B57"/>
    <w:rsid w:val="5C45619B"/>
    <w:rsid w:val="5C690CE0"/>
    <w:rsid w:val="5C8C548C"/>
    <w:rsid w:val="5CA107D7"/>
    <w:rsid w:val="5CBF7BDD"/>
    <w:rsid w:val="5CC179B4"/>
    <w:rsid w:val="5CC4429F"/>
    <w:rsid w:val="5CD33290"/>
    <w:rsid w:val="5CEC704C"/>
    <w:rsid w:val="5CEE2072"/>
    <w:rsid w:val="5CF867C3"/>
    <w:rsid w:val="5CFD7776"/>
    <w:rsid w:val="5D043470"/>
    <w:rsid w:val="5D2A38D3"/>
    <w:rsid w:val="5D3A6E76"/>
    <w:rsid w:val="5D420CF4"/>
    <w:rsid w:val="5D5E1370"/>
    <w:rsid w:val="5D656823"/>
    <w:rsid w:val="5D702592"/>
    <w:rsid w:val="5D7D2253"/>
    <w:rsid w:val="5DDB0959"/>
    <w:rsid w:val="5DDF38EE"/>
    <w:rsid w:val="5DE14305"/>
    <w:rsid w:val="5E0303D6"/>
    <w:rsid w:val="5E0A56B0"/>
    <w:rsid w:val="5E0C7CCC"/>
    <w:rsid w:val="5E114D45"/>
    <w:rsid w:val="5E126064"/>
    <w:rsid w:val="5E235997"/>
    <w:rsid w:val="5E276C51"/>
    <w:rsid w:val="5E472D8E"/>
    <w:rsid w:val="5E4A3AB0"/>
    <w:rsid w:val="5E7508D3"/>
    <w:rsid w:val="5EDD5634"/>
    <w:rsid w:val="5EDE044E"/>
    <w:rsid w:val="5EDE727C"/>
    <w:rsid w:val="5EE03468"/>
    <w:rsid w:val="5F11561B"/>
    <w:rsid w:val="5F20789B"/>
    <w:rsid w:val="5F275FB0"/>
    <w:rsid w:val="5F326C8D"/>
    <w:rsid w:val="5F371020"/>
    <w:rsid w:val="5F3A656E"/>
    <w:rsid w:val="5F8762A9"/>
    <w:rsid w:val="5F9250F6"/>
    <w:rsid w:val="5FC45E57"/>
    <w:rsid w:val="5FDB30BF"/>
    <w:rsid w:val="5FE53947"/>
    <w:rsid w:val="5FEA42DE"/>
    <w:rsid w:val="5FEF0642"/>
    <w:rsid w:val="6007101B"/>
    <w:rsid w:val="60380F82"/>
    <w:rsid w:val="607002CB"/>
    <w:rsid w:val="60907B33"/>
    <w:rsid w:val="6094085E"/>
    <w:rsid w:val="60AD5FBC"/>
    <w:rsid w:val="60B01E51"/>
    <w:rsid w:val="60C41058"/>
    <w:rsid w:val="60DD1804"/>
    <w:rsid w:val="60E410AF"/>
    <w:rsid w:val="60E645CA"/>
    <w:rsid w:val="60F57917"/>
    <w:rsid w:val="61283221"/>
    <w:rsid w:val="612A237B"/>
    <w:rsid w:val="612E2054"/>
    <w:rsid w:val="61370A75"/>
    <w:rsid w:val="614359A9"/>
    <w:rsid w:val="61674F14"/>
    <w:rsid w:val="61732620"/>
    <w:rsid w:val="618C12B4"/>
    <w:rsid w:val="61966B6E"/>
    <w:rsid w:val="61975D0E"/>
    <w:rsid w:val="61B70E98"/>
    <w:rsid w:val="61E30425"/>
    <w:rsid w:val="61EB3FA5"/>
    <w:rsid w:val="6200045A"/>
    <w:rsid w:val="62364EDD"/>
    <w:rsid w:val="6245231C"/>
    <w:rsid w:val="62464690"/>
    <w:rsid w:val="628660C1"/>
    <w:rsid w:val="62B027C5"/>
    <w:rsid w:val="62BF5B14"/>
    <w:rsid w:val="62D7422A"/>
    <w:rsid w:val="62DD10CE"/>
    <w:rsid w:val="630505D7"/>
    <w:rsid w:val="630F7214"/>
    <w:rsid w:val="63203E77"/>
    <w:rsid w:val="63964434"/>
    <w:rsid w:val="6396725B"/>
    <w:rsid w:val="63AD0B4C"/>
    <w:rsid w:val="63B3484E"/>
    <w:rsid w:val="63FB336D"/>
    <w:rsid w:val="64137266"/>
    <w:rsid w:val="64271668"/>
    <w:rsid w:val="643A477D"/>
    <w:rsid w:val="6444223F"/>
    <w:rsid w:val="64673F17"/>
    <w:rsid w:val="6477268D"/>
    <w:rsid w:val="647E7679"/>
    <w:rsid w:val="648840E9"/>
    <w:rsid w:val="649B0D9B"/>
    <w:rsid w:val="64A2390C"/>
    <w:rsid w:val="64AA0B96"/>
    <w:rsid w:val="64AE077E"/>
    <w:rsid w:val="64DB63B9"/>
    <w:rsid w:val="64DF1DA6"/>
    <w:rsid w:val="64E00576"/>
    <w:rsid w:val="64E91F80"/>
    <w:rsid w:val="64F00530"/>
    <w:rsid w:val="64F32B14"/>
    <w:rsid w:val="64F50215"/>
    <w:rsid w:val="65136697"/>
    <w:rsid w:val="65231D11"/>
    <w:rsid w:val="6530783D"/>
    <w:rsid w:val="654A2FFA"/>
    <w:rsid w:val="6551765D"/>
    <w:rsid w:val="65753030"/>
    <w:rsid w:val="6578036B"/>
    <w:rsid w:val="65A516D6"/>
    <w:rsid w:val="65B70F42"/>
    <w:rsid w:val="65D9022F"/>
    <w:rsid w:val="65DA16FB"/>
    <w:rsid w:val="65E04F24"/>
    <w:rsid w:val="65E27A92"/>
    <w:rsid w:val="66016827"/>
    <w:rsid w:val="66213CF5"/>
    <w:rsid w:val="663A0138"/>
    <w:rsid w:val="6641081A"/>
    <w:rsid w:val="665C77AC"/>
    <w:rsid w:val="665F1E3F"/>
    <w:rsid w:val="667259CC"/>
    <w:rsid w:val="667401BC"/>
    <w:rsid w:val="668E72F7"/>
    <w:rsid w:val="66A07728"/>
    <w:rsid w:val="66D147C0"/>
    <w:rsid w:val="66DC3FC3"/>
    <w:rsid w:val="66E438A4"/>
    <w:rsid w:val="66FA4021"/>
    <w:rsid w:val="67005BB3"/>
    <w:rsid w:val="671836EE"/>
    <w:rsid w:val="673E637E"/>
    <w:rsid w:val="675109BC"/>
    <w:rsid w:val="67552B26"/>
    <w:rsid w:val="67861393"/>
    <w:rsid w:val="6787383E"/>
    <w:rsid w:val="67960E9B"/>
    <w:rsid w:val="679A26AD"/>
    <w:rsid w:val="67A246B6"/>
    <w:rsid w:val="67BB2719"/>
    <w:rsid w:val="68126072"/>
    <w:rsid w:val="6827718A"/>
    <w:rsid w:val="683F64DA"/>
    <w:rsid w:val="6843097B"/>
    <w:rsid w:val="686E0EBF"/>
    <w:rsid w:val="68725F6A"/>
    <w:rsid w:val="687430CE"/>
    <w:rsid w:val="689D6CBF"/>
    <w:rsid w:val="68E22E8B"/>
    <w:rsid w:val="68EC1039"/>
    <w:rsid w:val="690E1B14"/>
    <w:rsid w:val="692E5818"/>
    <w:rsid w:val="69460C4C"/>
    <w:rsid w:val="694D7BE3"/>
    <w:rsid w:val="69514EA7"/>
    <w:rsid w:val="69974413"/>
    <w:rsid w:val="69AB0481"/>
    <w:rsid w:val="69B738B2"/>
    <w:rsid w:val="69E769D3"/>
    <w:rsid w:val="69E872E2"/>
    <w:rsid w:val="69E96B26"/>
    <w:rsid w:val="6A0543A3"/>
    <w:rsid w:val="6A363932"/>
    <w:rsid w:val="6A3B3091"/>
    <w:rsid w:val="6A474D42"/>
    <w:rsid w:val="6A4A6AAC"/>
    <w:rsid w:val="6A4F725F"/>
    <w:rsid w:val="6A58138F"/>
    <w:rsid w:val="6A5F4411"/>
    <w:rsid w:val="6A691818"/>
    <w:rsid w:val="6A9513FD"/>
    <w:rsid w:val="6AF86A12"/>
    <w:rsid w:val="6B150AA2"/>
    <w:rsid w:val="6B1B00EF"/>
    <w:rsid w:val="6B292F59"/>
    <w:rsid w:val="6B3D1C66"/>
    <w:rsid w:val="6B3F1CEF"/>
    <w:rsid w:val="6B440A01"/>
    <w:rsid w:val="6B4E12C0"/>
    <w:rsid w:val="6B724105"/>
    <w:rsid w:val="6B8E0DBC"/>
    <w:rsid w:val="6B975883"/>
    <w:rsid w:val="6B9C2EFA"/>
    <w:rsid w:val="6BA201DE"/>
    <w:rsid w:val="6C154576"/>
    <w:rsid w:val="6C2275DF"/>
    <w:rsid w:val="6C3E477C"/>
    <w:rsid w:val="6C640F31"/>
    <w:rsid w:val="6C6B5B4F"/>
    <w:rsid w:val="6C724314"/>
    <w:rsid w:val="6C7569C3"/>
    <w:rsid w:val="6CA1615E"/>
    <w:rsid w:val="6CA253BB"/>
    <w:rsid w:val="6CAD08BF"/>
    <w:rsid w:val="6CDA09BF"/>
    <w:rsid w:val="6CE96F0A"/>
    <w:rsid w:val="6CEE6868"/>
    <w:rsid w:val="6D0228A5"/>
    <w:rsid w:val="6D082AF7"/>
    <w:rsid w:val="6D0C56F0"/>
    <w:rsid w:val="6D135BC0"/>
    <w:rsid w:val="6D1942BC"/>
    <w:rsid w:val="6D1B12FA"/>
    <w:rsid w:val="6D2115AB"/>
    <w:rsid w:val="6D243035"/>
    <w:rsid w:val="6D366C57"/>
    <w:rsid w:val="6D4D1DF8"/>
    <w:rsid w:val="6D514E34"/>
    <w:rsid w:val="6D55615D"/>
    <w:rsid w:val="6D8667D8"/>
    <w:rsid w:val="6D8E0BBA"/>
    <w:rsid w:val="6D8E55F0"/>
    <w:rsid w:val="6D9C7C79"/>
    <w:rsid w:val="6DA62E74"/>
    <w:rsid w:val="6DF8275D"/>
    <w:rsid w:val="6DFF5494"/>
    <w:rsid w:val="6E031228"/>
    <w:rsid w:val="6E0E2E08"/>
    <w:rsid w:val="6E1A24DE"/>
    <w:rsid w:val="6E521A94"/>
    <w:rsid w:val="6E65564E"/>
    <w:rsid w:val="6E8E120A"/>
    <w:rsid w:val="6E940AC0"/>
    <w:rsid w:val="6E9A0469"/>
    <w:rsid w:val="6EDB28E3"/>
    <w:rsid w:val="6EFC5FFF"/>
    <w:rsid w:val="6F04294E"/>
    <w:rsid w:val="6F2D7250"/>
    <w:rsid w:val="6F415EA4"/>
    <w:rsid w:val="6F4B21DA"/>
    <w:rsid w:val="6F5479BF"/>
    <w:rsid w:val="6F5615C0"/>
    <w:rsid w:val="6F597CB1"/>
    <w:rsid w:val="6F852A3E"/>
    <w:rsid w:val="6FAD218E"/>
    <w:rsid w:val="6FBD67B8"/>
    <w:rsid w:val="6FC12D0F"/>
    <w:rsid w:val="6FD13DD3"/>
    <w:rsid w:val="70090678"/>
    <w:rsid w:val="703E4320"/>
    <w:rsid w:val="704918D8"/>
    <w:rsid w:val="70565A5B"/>
    <w:rsid w:val="707C6DB0"/>
    <w:rsid w:val="70886DD8"/>
    <w:rsid w:val="709A311A"/>
    <w:rsid w:val="70D72E45"/>
    <w:rsid w:val="70E15450"/>
    <w:rsid w:val="70E47279"/>
    <w:rsid w:val="70E704C7"/>
    <w:rsid w:val="70E7131B"/>
    <w:rsid w:val="71186507"/>
    <w:rsid w:val="713108F1"/>
    <w:rsid w:val="714C4164"/>
    <w:rsid w:val="718422CA"/>
    <w:rsid w:val="719B5673"/>
    <w:rsid w:val="719B5C0A"/>
    <w:rsid w:val="71CC019D"/>
    <w:rsid w:val="71DC268B"/>
    <w:rsid w:val="71E16D3B"/>
    <w:rsid w:val="71EE1882"/>
    <w:rsid w:val="71FC24E8"/>
    <w:rsid w:val="72083607"/>
    <w:rsid w:val="720E597C"/>
    <w:rsid w:val="722467B0"/>
    <w:rsid w:val="72301EEE"/>
    <w:rsid w:val="725F45CD"/>
    <w:rsid w:val="72AD2FBC"/>
    <w:rsid w:val="72B457EE"/>
    <w:rsid w:val="72D12354"/>
    <w:rsid w:val="72D24D00"/>
    <w:rsid w:val="72DA70B7"/>
    <w:rsid w:val="72F5651A"/>
    <w:rsid w:val="72F93529"/>
    <w:rsid w:val="72F94381"/>
    <w:rsid w:val="731A6B35"/>
    <w:rsid w:val="731E2C40"/>
    <w:rsid w:val="732A5159"/>
    <w:rsid w:val="7338194A"/>
    <w:rsid w:val="735065D5"/>
    <w:rsid w:val="73711ACA"/>
    <w:rsid w:val="737D28CB"/>
    <w:rsid w:val="737E7589"/>
    <w:rsid w:val="738604D1"/>
    <w:rsid w:val="73A22239"/>
    <w:rsid w:val="73A85E13"/>
    <w:rsid w:val="73C223EF"/>
    <w:rsid w:val="73D44AAB"/>
    <w:rsid w:val="73EA6018"/>
    <w:rsid w:val="73F4440C"/>
    <w:rsid w:val="73FB7A2D"/>
    <w:rsid w:val="74026733"/>
    <w:rsid w:val="74054889"/>
    <w:rsid w:val="740607C1"/>
    <w:rsid w:val="74313129"/>
    <w:rsid w:val="743C69EF"/>
    <w:rsid w:val="744C1180"/>
    <w:rsid w:val="74DA029E"/>
    <w:rsid w:val="74ED52BB"/>
    <w:rsid w:val="74EE6FCF"/>
    <w:rsid w:val="74F25B43"/>
    <w:rsid w:val="74FD4F8C"/>
    <w:rsid w:val="75120BC7"/>
    <w:rsid w:val="753233EE"/>
    <w:rsid w:val="75D512B7"/>
    <w:rsid w:val="75E40560"/>
    <w:rsid w:val="75F5072F"/>
    <w:rsid w:val="760C5E79"/>
    <w:rsid w:val="760E4969"/>
    <w:rsid w:val="76346857"/>
    <w:rsid w:val="76581D2E"/>
    <w:rsid w:val="768A7312"/>
    <w:rsid w:val="76A965B9"/>
    <w:rsid w:val="76B92864"/>
    <w:rsid w:val="76C502A3"/>
    <w:rsid w:val="76D86132"/>
    <w:rsid w:val="7704020C"/>
    <w:rsid w:val="77140B28"/>
    <w:rsid w:val="77280A58"/>
    <w:rsid w:val="772871F3"/>
    <w:rsid w:val="772B30EA"/>
    <w:rsid w:val="77465B22"/>
    <w:rsid w:val="775578AC"/>
    <w:rsid w:val="77841701"/>
    <w:rsid w:val="779B3B1A"/>
    <w:rsid w:val="779E6255"/>
    <w:rsid w:val="77B95525"/>
    <w:rsid w:val="77E23F24"/>
    <w:rsid w:val="77E24B93"/>
    <w:rsid w:val="781260A0"/>
    <w:rsid w:val="783A342B"/>
    <w:rsid w:val="784B2F05"/>
    <w:rsid w:val="784D21C6"/>
    <w:rsid w:val="78635832"/>
    <w:rsid w:val="78676EB3"/>
    <w:rsid w:val="78744005"/>
    <w:rsid w:val="78752F1C"/>
    <w:rsid w:val="787951B8"/>
    <w:rsid w:val="78CC22A1"/>
    <w:rsid w:val="78EA6866"/>
    <w:rsid w:val="78EB752C"/>
    <w:rsid w:val="78ED7C53"/>
    <w:rsid w:val="78FC598D"/>
    <w:rsid w:val="79112670"/>
    <w:rsid w:val="79143A9F"/>
    <w:rsid w:val="79270217"/>
    <w:rsid w:val="792D33F9"/>
    <w:rsid w:val="793138B8"/>
    <w:rsid w:val="793B064B"/>
    <w:rsid w:val="7984646E"/>
    <w:rsid w:val="799F1D61"/>
    <w:rsid w:val="79E0665E"/>
    <w:rsid w:val="79E676DF"/>
    <w:rsid w:val="79F83F2A"/>
    <w:rsid w:val="7A154BFF"/>
    <w:rsid w:val="7A1F0B97"/>
    <w:rsid w:val="7A323523"/>
    <w:rsid w:val="7A3832C4"/>
    <w:rsid w:val="7A3D39D3"/>
    <w:rsid w:val="7A3F2630"/>
    <w:rsid w:val="7A5529C9"/>
    <w:rsid w:val="7A637655"/>
    <w:rsid w:val="7A8D1D09"/>
    <w:rsid w:val="7A9F5B79"/>
    <w:rsid w:val="7AA71A51"/>
    <w:rsid w:val="7AB15F98"/>
    <w:rsid w:val="7ABA5C73"/>
    <w:rsid w:val="7AC87FA9"/>
    <w:rsid w:val="7ADA6A4E"/>
    <w:rsid w:val="7ADC06B3"/>
    <w:rsid w:val="7AE720D9"/>
    <w:rsid w:val="7AF57047"/>
    <w:rsid w:val="7B255A5A"/>
    <w:rsid w:val="7B5673B9"/>
    <w:rsid w:val="7B652BE8"/>
    <w:rsid w:val="7B903707"/>
    <w:rsid w:val="7BAD79BD"/>
    <w:rsid w:val="7BCE4568"/>
    <w:rsid w:val="7BE7088B"/>
    <w:rsid w:val="7BF45327"/>
    <w:rsid w:val="7C1D69CD"/>
    <w:rsid w:val="7C325898"/>
    <w:rsid w:val="7C3843C2"/>
    <w:rsid w:val="7C7A239C"/>
    <w:rsid w:val="7C7D0F8B"/>
    <w:rsid w:val="7CAC549E"/>
    <w:rsid w:val="7CBC496E"/>
    <w:rsid w:val="7CC07E94"/>
    <w:rsid w:val="7CD812BD"/>
    <w:rsid w:val="7CEB5B27"/>
    <w:rsid w:val="7CF1567B"/>
    <w:rsid w:val="7D317407"/>
    <w:rsid w:val="7D482731"/>
    <w:rsid w:val="7D57422F"/>
    <w:rsid w:val="7D733C65"/>
    <w:rsid w:val="7D7652F8"/>
    <w:rsid w:val="7D8255F9"/>
    <w:rsid w:val="7D932C5E"/>
    <w:rsid w:val="7D9714F5"/>
    <w:rsid w:val="7DA8290F"/>
    <w:rsid w:val="7DCF46DA"/>
    <w:rsid w:val="7DE35FB7"/>
    <w:rsid w:val="7DE877A5"/>
    <w:rsid w:val="7DEE27E4"/>
    <w:rsid w:val="7E0F6CF7"/>
    <w:rsid w:val="7E1741B6"/>
    <w:rsid w:val="7E18378D"/>
    <w:rsid w:val="7E185499"/>
    <w:rsid w:val="7E193AD6"/>
    <w:rsid w:val="7E210B44"/>
    <w:rsid w:val="7E291108"/>
    <w:rsid w:val="7E2F0385"/>
    <w:rsid w:val="7E42350B"/>
    <w:rsid w:val="7E4F5B67"/>
    <w:rsid w:val="7E5D2E75"/>
    <w:rsid w:val="7E6812DA"/>
    <w:rsid w:val="7E9377E5"/>
    <w:rsid w:val="7EA27259"/>
    <w:rsid w:val="7EA66250"/>
    <w:rsid w:val="7EBE0F58"/>
    <w:rsid w:val="7ED6478D"/>
    <w:rsid w:val="7EE34B7B"/>
    <w:rsid w:val="7EFC1FC4"/>
    <w:rsid w:val="7F1F3BCE"/>
    <w:rsid w:val="7F2D618A"/>
    <w:rsid w:val="7F4F376D"/>
    <w:rsid w:val="7F4F677C"/>
    <w:rsid w:val="7F531878"/>
    <w:rsid w:val="7F545141"/>
    <w:rsid w:val="7F696669"/>
    <w:rsid w:val="7F856DF6"/>
    <w:rsid w:val="7FA71FFB"/>
    <w:rsid w:val="7FAE17E8"/>
    <w:rsid w:val="7FAF4CAD"/>
    <w:rsid w:val="7FD570C2"/>
    <w:rsid w:val="7FD93C6C"/>
    <w:rsid w:val="7FE96056"/>
    <w:rsid w:val="7FF76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autoRedefine/>
    <w:unhideWhenUsed/>
    <w:qFormat/>
    <w:uiPriority w:val="0"/>
    <w:pPr>
      <w:spacing w:before="100" w:beforeAutospacing="1" w:after="100" w:afterAutospacing="1"/>
      <w:jc w:val="left"/>
    </w:pPr>
    <w:rPr>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1059</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2023-11-29T01:09:00Z</dcterms:created>
  <dc:creator>j</dc:creator>
  <cp:lastModifiedBy>j</cp:lastModifiedBy>
  <dcterms:modified xsi:type="dcterms:W3CDTF">2024-05-08T09:21:59Z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D7A513C0D6ED413984786F79A6A7490E_13</vt:lpwstr>
  </property>
</Properties>
</file>